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E54" w:rsidRPr="00446F9D" w:rsidRDefault="00A85E54" w:rsidP="00A85E54">
      <w:pPr>
        <w:pStyle w:val="Header"/>
        <w:tabs>
          <w:tab w:val="clear" w:pos="4536"/>
        </w:tabs>
        <w:rPr>
          <w:i/>
        </w:rPr>
      </w:pPr>
      <w:bookmarkStart w:id="0" w:name="_GoBack"/>
      <w:bookmarkEnd w:id="0"/>
      <w:r w:rsidRPr="00446F9D">
        <w:t>TSG-RAN WG1 #</w:t>
      </w:r>
      <w:r w:rsidR="00C75368">
        <w:t>86</w:t>
      </w:r>
      <w:r w:rsidRPr="00446F9D">
        <w:tab/>
        <w:t>R1-</w:t>
      </w:r>
      <w:r>
        <w:t>16</w:t>
      </w:r>
      <w:r w:rsidR="00535463">
        <w:t>7553</w:t>
      </w:r>
    </w:p>
    <w:p w:rsidR="00A85E54" w:rsidRPr="000833FA" w:rsidRDefault="00C75368" w:rsidP="00A85E54">
      <w:pPr>
        <w:pStyle w:val="Header"/>
        <w:rPr>
          <w:color w:val="000000"/>
        </w:rPr>
      </w:pPr>
      <w:r>
        <w:t>Gothenburg, Sweden, August 22 – 26,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FA3EF4">
        <w:rPr>
          <w:lang w:eastAsia="ja-JP"/>
        </w:rPr>
        <w:t>On max EIRP values</w:t>
      </w:r>
    </w:p>
    <w:p w:rsidR="00FE5799" w:rsidRPr="0003368D" w:rsidRDefault="00FE5799" w:rsidP="00FE5799">
      <w:pPr>
        <w:pStyle w:val="Header"/>
        <w:tabs>
          <w:tab w:val="left" w:pos="1800"/>
        </w:tabs>
      </w:pPr>
      <w:r w:rsidRPr="0003368D">
        <w:t>Agenda Item:</w:t>
      </w:r>
      <w:bookmarkStart w:id="2" w:name="Source"/>
      <w:bookmarkEnd w:id="2"/>
      <w:r w:rsidRPr="0003368D">
        <w:tab/>
      </w:r>
      <w:r w:rsidR="00CA2F3B">
        <w:t>8.1.7</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17779E" w:rsidRDefault="0017779E" w:rsidP="00FE5799">
      <w:pPr>
        <w:pStyle w:val="Heading1"/>
        <w:spacing w:before="180"/>
        <w:ind w:left="562" w:hanging="562"/>
      </w:pPr>
      <w:r>
        <w:t>Introduction</w:t>
      </w:r>
    </w:p>
    <w:p w:rsidR="00FA3EF4" w:rsidRDefault="00F72CE2" w:rsidP="00FA3EF4">
      <w:pPr>
        <w:pStyle w:val="BodyText"/>
      </w:pPr>
      <w:r>
        <w:t xml:space="preserve">For the NR evaluations, there was a discussion on the max EIRP values to assume in different scenarios and some tentative agreements were made for BS with the values in brackets. </w:t>
      </w:r>
    </w:p>
    <w:p w:rsidR="00F72CE2" w:rsidRDefault="00F72CE2" w:rsidP="00FA3EF4">
      <w:pPr>
        <w:pStyle w:val="BodyText"/>
      </w:pPr>
      <w:r>
        <w:t>For BS:</w:t>
      </w:r>
    </w:p>
    <w:p w:rsidR="00F72CE2" w:rsidRPr="00F72CE2" w:rsidRDefault="00F72CE2" w:rsidP="00F72CE2">
      <w:pPr>
        <w:pStyle w:val="BodyText"/>
        <w:ind w:firstLine="562"/>
        <w:rPr>
          <w:rFonts w:eastAsia="Arial Unicode MS"/>
          <w:lang w:eastAsia="zh-CN"/>
        </w:rPr>
      </w:pPr>
      <w:r w:rsidRPr="00F72CE2">
        <w:t xml:space="preserve">Indoor hotspot: </w:t>
      </w:r>
      <w:r w:rsidRPr="00F72CE2">
        <w:rPr>
          <w:rFonts w:eastAsia="Arial Unicode MS" w:hint="eastAsia"/>
          <w:lang w:eastAsia="zh-CN"/>
        </w:rPr>
        <w:t xml:space="preserve">EIRP should not exceed </w:t>
      </w:r>
      <w:r w:rsidRPr="00F72CE2">
        <w:rPr>
          <w:rFonts w:eastAsia="Arial Unicode MS"/>
          <w:lang w:eastAsia="zh-CN"/>
        </w:rPr>
        <w:t>[</w:t>
      </w:r>
      <w:r w:rsidRPr="00F72CE2">
        <w:rPr>
          <w:rFonts w:eastAsia="Arial Unicode MS" w:hint="eastAsia"/>
          <w:lang w:eastAsia="zh-CN"/>
        </w:rPr>
        <w:t>51</w:t>
      </w:r>
      <w:r w:rsidRPr="00F72CE2">
        <w:rPr>
          <w:rFonts w:eastAsia="Arial Unicode MS"/>
          <w:lang w:eastAsia="zh-CN"/>
        </w:rPr>
        <w:t>]</w:t>
      </w:r>
      <w:r w:rsidRPr="00F72CE2">
        <w:rPr>
          <w:rFonts w:eastAsia="Arial Unicode MS" w:hint="eastAsia"/>
          <w:lang w:eastAsia="zh-CN"/>
        </w:rPr>
        <w:t xml:space="preserve"> dBm</w:t>
      </w:r>
    </w:p>
    <w:p w:rsidR="00F72CE2" w:rsidRPr="00F72CE2" w:rsidRDefault="00F72CE2" w:rsidP="00F72CE2">
      <w:pPr>
        <w:pStyle w:val="BodyText"/>
        <w:ind w:firstLine="562"/>
      </w:pPr>
      <w:r w:rsidRPr="00F72CE2">
        <w:t xml:space="preserve">Dense Urban: </w:t>
      </w:r>
      <w:r w:rsidRPr="00F72CE2">
        <w:rPr>
          <w:rFonts w:eastAsia="Arial Unicode MS" w:hint="eastAsia"/>
          <w:lang w:eastAsia="zh-CN"/>
        </w:rPr>
        <w:t xml:space="preserve">EIRP should not exceed </w:t>
      </w:r>
      <w:r w:rsidRPr="00F72CE2">
        <w:rPr>
          <w:rFonts w:eastAsia="Arial Unicode MS"/>
          <w:lang w:eastAsia="zh-CN"/>
        </w:rPr>
        <w:t>[69]</w:t>
      </w:r>
      <w:r w:rsidRPr="00F72CE2">
        <w:rPr>
          <w:rFonts w:eastAsia="Arial Unicode MS" w:hint="eastAsia"/>
          <w:lang w:eastAsia="zh-CN"/>
        </w:rPr>
        <w:t xml:space="preserve"> dBm</w:t>
      </w:r>
    </w:p>
    <w:p w:rsidR="00F72CE2" w:rsidRPr="00F72CE2" w:rsidRDefault="00F72CE2" w:rsidP="00F72CE2">
      <w:pPr>
        <w:pStyle w:val="BodyText"/>
        <w:ind w:firstLine="562"/>
        <w:rPr>
          <w:rFonts w:eastAsia="Arial Unicode MS"/>
          <w:lang w:eastAsia="zh-CN"/>
        </w:rPr>
      </w:pPr>
      <w:r w:rsidRPr="00F72CE2">
        <w:t xml:space="preserve">Urban Macro: </w:t>
      </w:r>
      <w:r w:rsidRPr="00F72CE2">
        <w:rPr>
          <w:rFonts w:eastAsia="Arial Unicode MS" w:hint="eastAsia"/>
          <w:lang w:eastAsia="zh-CN"/>
        </w:rPr>
        <w:t xml:space="preserve">EIRP should not exceed </w:t>
      </w:r>
      <w:r w:rsidRPr="00F72CE2">
        <w:rPr>
          <w:rFonts w:eastAsia="Arial Unicode MS"/>
          <w:lang w:eastAsia="zh-CN"/>
        </w:rPr>
        <w:t>[78]</w:t>
      </w:r>
      <w:r w:rsidRPr="00F72CE2">
        <w:rPr>
          <w:rFonts w:eastAsia="Arial Unicode MS" w:hint="eastAsia"/>
          <w:lang w:eastAsia="zh-CN"/>
        </w:rPr>
        <w:t xml:space="preserve"> dBm</w:t>
      </w:r>
    </w:p>
    <w:p w:rsidR="00F72CE2" w:rsidRPr="00F72CE2" w:rsidRDefault="00F72CE2" w:rsidP="00F72CE2">
      <w:pPr>
        <w:pStyle w:val="BodyText"/>
        <w:rPr>
          <w:rFonts w:eastAsia="Arial Unicode MS"/>
          <w:lang w:eastAsia="zh-CN"/>
        </w:rPr>
      </w:pPr>
      <w:r w:rsidRPr="00F72CE2">
        <w:rPr>
          <w:rFonts w:eastAsia="Arial Unicode MS"/>
          <w:lang w:eastAsia="zh-CN"/>
        </w:rPr>
        <w:t xml:space="preserve">For UE:  </w:t>
      </w:r>
      <w:r w:rsidRPr="00F72CE2">
        <w:rPr>
          <w:rFonts w:eastAsia="Arial Unicode MS" w:hint="eastAsia"/>
          <w:lang w:eastAsia="zh-CN"/>
        </w:rPr>
        <w:t>EIRP should not exceed 43 dBm</w:t>
      </w:r>
    </w:p>
    <w:p w:rsidR="00F72CE2" w:rsidRPr="00FA3EF4" w:rsidRDefault="00F72CE2" w:rsidP="00FA3EF4">
      <w:pPr>
        <w:pStyle w:val="BodyText"/>
      </w:pPr>
      <w:r>
        <w:t>In this contribution we address this issue to reach an agreement for these square bracketed values.</w:t>
      </w:r>
    </w:p>
    <w:p w:rsidR="00FE5799" w:rsidRDefault="00F120DC" w:rsidP="00FE5799">
      <w:pPr>
        <w:pStyle w:val="Heading1"/>
        <w:spacing w:before="180"/>
        <w:ind w:left="562" w:hanging="562"/>
      </w:pPr>
      <w:r>
        <w:t>RF EMF exposure limits</w:t>
      </w:r>
    </w:p>
    <w:p w:rsidR="00F120DC" w:rsidRDefault="00F120DC" w:rsidP="00F120DC">
      <w:pPr>
        <w:pStyle w:val="BodyText"/>
      </w:pPr>
      <w:r>
        <w:t>Between 10 GHz – 300 GHz, t</w:t>
      </w:r>
      <w:r w:rsidR="00590988">
        <w:t xml:space="preserve">he ICNIRP </w:t>
      </w:r>
      <w:r w:rsidR="00DD3792">
        <w:t>(</w:t>
      </w:r>
      <w:r w:rsidR="00DD3792" w:rsidRPr="00DD3792">
        <w:t xml:space="preserve">International Commission </w:t>
      </w:r>
      <w:r w:rsidR="00DD3792">
        <w:t xml:space="preserve">on Non-Ionizing </w:t>
      </w:r>
      <w:r w:rsidR="00DD3792" w:rsidRPr="00DD3792">
        <w:t>Radiation Protection</w:t>
      </w:r>
      <w:r w:rsidR="00DD3792">
        <w:t xml:space="preserve">) </w:t>
      </w:r>
      <w:r w:rsidR="00590988">
        <w:t>exposure guidelines [1</w:t>
      </w:r>
      <w:r>
        <w:t xml:space="preserve">] specify a maximum </w:t>
      </w:r>
      <w:r w:rsidR="00DD3792">
        <w:t xml:space="preserve">free space incident </w:t>
      </w:r>
      <w:r>
        <w:t>power density of 10 W/m</w:t>
      </w:r>
      <w:r w:rsidRPr="00F120DC">
        <w:rPr>
          <w:vertAlign w:val="superscript"/>
        </w:rPr>
        <w:t>2</w:t>
      </w:r>
      <w:r>
        <w:t xml:space="preserve"> for the general public taken as an average over any 20 cm</w:t>
      </w:r>
      <w:r w:rsidRPr="00590988">
        <w:rPr>
          <w:vertAlign w:val="superscript"/>
        </w:rPr>
        <w:t>2</w:t>
      </w:r>
      <w:r>
        <w:t xml:space="preserve"> of exposed area. In addition, the spatial maximum power density averaged over any 1 cm</w:t>
      </w:r>
      <w:r w:rsidRPr="00F120DC">
        <w:rPr>
          <w:vertAlign w:val="superscript"/>
        </w:rPr>
        <w:t>2</w:t>
      </w:r>
      <w:r>
        <w:t xml:space="preserve"> shall not exceed 200 W/m2.</w:t>
      </w:r>
      <w:r w:rsidR="00DD3792">
        <w:t xml:space="preserve"> ICNIRP involves Europe plus most other countries. </w:t>
      </w:r>
    </w:p>
    <w:p w:rsidR="00F120DC" w:rsidRDefault="00F120DC" w:rsidP="00F120DC">
      <w:pPr>
        <w:pStyle w:val="BodyText"/>
      </w:pPr>
      <w:r>
        <w:t>The uncontrolled power density exposure limit for FCC between 6 GHz to 100 GHz is also 10 W/m2, which in general is to be considered as a spatial peak value [</w:t>
      </w:r>
      <w:r w:rsidR="00590988">
        <w:t>2</w:t>
      </w:r>
      <w:proofErr w:type="gramStart"/>
      <w:r w:rsidR="00590988">
        <w:t>,3</w:t>
      </w:r>
      <w:proofErr w:type="gramEnd"/>
      <w:r>
        <w:t>]. Spatial peak is not a well-defined quantity, however, and the obtained result will depend on the exposure assessment method.</w:t>
      </w:r>
      <w:r w:rsidR="00DD3792">
        <w:t xml:space="preserve"> FCC involves US and Canada.</w:t>
      </w:r>
    </w:p>
    <w:p w:rsidR="00F120DC" w:rsidRDefault="00F120DC" w:rsidP="00F120DC">
      <w:pPr>
        <w:pStyle w:val="BodyText"/>
      </w:pPr>
      <w:r>
        <w:t>In a recent Notice of Proposed</w:t>
      </w:r>
      <w:r w:rsidR="00590988">
        <w:t xml:space="preserve"> Rulemaking (FCC 15-138) [4</w:t>
      </w:r>
      <w:r>
        <w:t>], the FCC stipulates that spatial peak is to be interpreted as an average over any 1 cm</w:t>
      </w:r>
      <w:r w:rsidRPr="00F120DC">
        <w:rPr>
          <w:vertAlign w:val="superscript"/>
        </w:rPr>
        <w:t>2</w:t>
      </w:r>
      <w:r>
        <w:t xml:space="preserve"> in the shape of a square for frequencies above 6 GHz. Although this interpretation of spatial peak power density has not yet formally made its way into the FCC regulations, we may assume that a 1 cm</w:t>
      </w:r>
      <w:r w:rsidRPr="00F120DC">
        <w:rPr>
          <w:vertAlign w:val="superscript"/>
        </w:rPr>
        <w:t>2</w:t>
      </w:r>
      <w:r>
        <w:t xml:space="preserve"> averaging area is</w:t>
      </w:r>
      <w:r w:rsidR="00590988">
        <w:t xml:space="preserve"> consistent with FCC 15-138 [4]. In [4</w:t>
      </w:r>
      <w:r>
        <w:t xml:space="preserve">], the FCC also stipulates a maximum peak EIRP, </w:t>
      </w:r>
      <w:r>
        <w:rPr>
          <w:rFonts w:ascii="Cambria Math" w:hAnsi="Cambria Math" w:cs="Cambria Math"/>
        </w:rPr>
        <w:t>𝐸𝐼𝑅𝑃</w:t>
      </w:r>
      <w:proofErr w:type="spellStart"/>
      <w:r w:rsidRPr="003E7267">
        <w:rPr>
          <w:vertAlign w:val="subscript"/>
        </w:rPr>
        <w:t>lim</w:t>
      </w:r>
      <w:proofErr w:type="spellEnd"/>
      <w:r>
        <w:t xml:space="preserve">, of 20 W </w:t>
      </w:r>
      <w:r w:rsidR="003E7267">
        <w:t xml:space="preserve">(i.e. 43 dBm) </w:t>
      </w:r>
      <w:r>
        <w:t>for mobile devices (where a mobile device is defined as a transmitter not used in fixed locations and which is generally used more than 20 cm away from the body of the user).</w:t>
      </w:r>
    </w:p>
    <w:p w:rsidR="00F120DC" w:rsidRDefault="00F120DC" w:rsidP="00F120DC">
      <w:pPr>
        <w:pStyle w:val="BodyText"/>
      </w:pPr>
      <w:r>
        <w:t>Between 3 GHz to 100 GHz, the IEEE general public basic restriction on power density is 10 W/m</w:t>
      </w:r>
      <w:r w:rsidRPr="00F120DC">
        <w:rPr>
          <w:vertAlign w:val="superscript"/>
        </w:rPr>
        <w:t>2</w:t>
      </w:r>
      <w:r w:rsidR="00590988">
        <w:t xml:space="preserve"> [5</w:t>
      </w:r>
      <w:r>
        <w:t>]. In the frequency range between 3 GHz to 30 GHz, the power density is to be spatially averaged over any contiguous area corresponding to 100</w:t>
      </w:r>
      <w:r>
        <w:rPr>
          <w:rFonts w:ascii="Cambria Math" w:hAnsi="Cambria Math" w:cs="Cambria Math"/>
        </w:rPr>
        <w:t>𝜆</w:t>
      </w:r>
      <w:r w:rsidRPr="00F120DC">
        <w:rPr>
          <w:vertAlign w:val="superscript"/>
        </w:rPr>
        <w:t>2</w:t>
      </w:r>
      <w:r>
        <w:t xml:space="preserve"> where </w:t>
      </w:r>
      <w:r>
        <w:rPr>
          <w:rFonts w:ascii="Cambria Math" w:hAnsi="Cambria Math" w:cs="Cambria Math"/>
        </w:rPr>
        <w:t>𝜆</w:t>
      </w:r>
      <w:r>
        <w:t xml:space="preserve"> is the free space wavelength of the RF field. Above 30 GHz, the averaging is to be conducted over an</w:t>
      </w:r>
      <w:r w:rsidR="00590988">
        <w:t>y contiguous area of 100 cm</w:t>
      </w:r>
      <w:r w:rsidR="00590988" w:rsidRPr="003E7267">
        <w:rPr>
          <w:vertAlign w:val="superscript"/>
        </w:rPr>
        <w:t>2</w:t>
      </w:r>
      <w:r w:rsidR="00590988">
        <w:t xml:space="preserve"> [6</w:t>
      </w:r>
      <w:r>
        <w:t>]. In addition, IEEE also specifies maximum spatial peak power densities of 18.56</w:t>
      </w:r>
      <w:r>
        <w:rPr>
          <w:rFonts w:ascii="Cambria Math" w:hAnsi="Cambria Math" w:cs="Cambria Math"/>
        </w:rPr>
        <w:t>𝑓</w:t>
      </w:r>
      <w:r>
        <w:rPr>
          <w:vertAlign w:val="superscript"/>
        </w:rPr>
        <w:t>0.</w:t>
      </w:r>
      <w:r w:rsidRPr="00F120DC">
        <w:rPr>
          <w:vertAlign w:val="superscript"/>
        </w:rPr>
        <w:t>699</w:t>
      </w:r>
      <w:r>
        <w:t xml:space="preserve"> W/m</w:t>
      </w:r>
      <w:r w:rsidRPr="00F120DC">
        <w:rPr>
          <w:vertAlign w:val="superscript"/>
        </w:rPr>
        <w:t>2</w:t>
      </w:r>
      <w:r>
        <w:t xml:space="preserve"> and 200 W/m</w:t>
      </w:r>
      <w:r w:rsidRPr="00F120DC">
        <w:rPr>
          <w:vertAlign w:val="superscript"/>
        </w:rPr>
        <w:t>2</w:t>
      </w:r>
      <w:r>
        <w:t xml:space="preserve"> at frequencies between 3 GHz and 30 GHz and above 30 GHz, respectively, where </w:t>
      </w:r>
      <w:r>
        <w:rPr>
          <w:rFonts w:ascii="Cambria Math" w:hAnsi="Cambria Math" w:cs="Cambria Math"/>
        </w:rPr>
        <w:t>𝑓</w:t>
      </w:r>
      <w:r>
        <w:t xml:space="preserve"> shall be taken as the frequency in GHz. No averaging area or spatial sampling density is specified by the IEEE for the spatial peak power density limits. </w:t>
      </w:r>
    </w:p>
    <w:p w:rsidR="00F120DC" w:rsidRDefault="00F120DC" w:rsidP="00F120DC">
      <w:pPr>
        <w:pStyle w:val="BodyText"/>
      </w:pPr>
      <w:r>
        <w:t xml:space="preserve">A summary of the RF EMF exposure limits, </w:t>
      </w:r>
      <w:r>
        <w:rPr>
          <w:rFonts w:ascii="Cambria Math" w:hAnsi="Cambria Math" w:cs="Cambria Math"/>
        </w:rPr>
        <w:t>𝑆</w:t>
      </w:r>
      <w:proofErr w:type="spellStart"/>
      <w:r w:rsidRPr="00F120DC">
        <w:rPr>
          <w:vertAlign w:val="subscript"/>
        </w:rPr>
        <w:t>lim</w:t>
      </w:r>
      <w:proofErr w:type="spellEnd"/>
      <w:r>
        <w:t>, is provided in Table 1. For convenience, the spatially averaged power densities were for all RF exposure limits determined assuming square-shaped averaging areas.</w:t>
      </w:r>
    </w:p>
    <w:p w:rsidR="00590988" w:rsidRDefault="00590988" w:rsidP="00590988">
      <w:pPr>
        <w:pStyle w:val="Caption"/>
        <w:keepNext/>
        <w:jc w:val="center"/>
      </w:pPr>
      <w:r>
        <w:t xml:space="preserve">Table </w:t>
      </w:r>
      <w:r>
        <w:fldChar w:fldCharType="begin"/>
      </w:r>
      <w:r>
        <w:instrText xml:space="preserve"> SEQ Table \* ARABIC </w:instrText>
      </w:r>
      <w:r>
        <w:fldChar w:fldCharType="separate"/>
      </w:r>
      <w:r w:rsidR="006322D3">
        <w:rPr>
          <w:noProof/>
        </w:rPr>
        <w:t>1</w:t>
      </w:r>
      <w:r>
        <w:fldChar w:fldCharType="end"/>
      </w:r>
      <w:r>
        <w:t xml:space="preserve"> General public/uncontrolled basic restrictions on power density</w:t>
      </w:r>
      <w:r w:rsidRPr="00590988">
        <w:t xml:space="preserve">, </w:t>
      </w:r>
      <w:r w:rsidRPr="00590988">
        <w:rPr>
          <w:rFonts w:ascii="Cambria Math" w:hAnsi="Cambria Math" w:cs="Cambria Math"/>
        </w:rPr>
        <w:t>𝑆</w:t>
      </w:r>
      <w:proofErr w:type="spellStart"/>
      <w:r w:rsidRPr="00590988">
        <w:rPr>
          <w:vertAlign w:val="subscript"/>
        </w:rPr>
        <w:t>lim</w:t>
      </w:r>
      <w:proofErr w:type="spellEnd"/>
      <w:r w:rsidRPr="00590988">
        <w:t xml:space="preserve"> </w:t>
      </w:r>
      <w:r>
        <w:t>.The parentheses behind the power density limits indicate the applicable averaging area. Absence of averaging area implies spatial peak power density.</w:t>
      </w:r>
      <w:r w:rsidRPr="00590988">
        <w:t xml:space="preserve"> (</w:t>
      </w:r>
      <w:r w:rsidRPr="00590988">
        <w:rPr>
          <w:rFonts w:ascii="Cambria Math" w:hAnsi="Cambria Math" w:cs="Cambria Math"/>
        </w:rPr>
        <w:t>𝜆</w:t>
      </w:r>
      <w:r w:rsidRPr="00590988">
        <w:t xml:space="preserve"> = </w:t>
      </w:r>
      <w:r>
        <w:t>wavelength in free space</w:t>
      </w:r>
      <w:r w:rsidRPr="00590988">
        <w:t xml:space="preserve">, </w:t>
      </w:r>
      <w:r w:rsidRPr="00590988">
        <w:rPr>
          <w:rFonts w:ascii="Cambria Math" w:hAnsi="Cambria Math" w:cs="Cambria Math"/>
        </w:rPr>
        <w:t>𝑓</w:t>
      </w:r>
      <w:r w:rsidRPr="00590988">
        <w:t xml:space="preserve"> = </w:t>
      </w:r>
      <w:r>
        <w:t>frequency in GHz</w:t>
      </w:r>
      <w:r w:rsidRPr="00590988">
        <w:t>).</w:t>
      </w:r>
    </w:p>
    <w:tbl>
      <w:tblPr>
        <w:tblStyle w:val="MediumGrid3-Accent5"/>
        <w:tblW w:w="0" w:type="auto"/>
        <w:tblLook w:val="04A0" w:firstRow="1" w:lastRow="0" w:firstColumn="1" w:lastColumn="0" w:noHBand="0" w:noVBand="1"/>
      </w:tblPr>
      <w:tblGrid>
        <w:gridCol w:w="1857"/>
        <w:gridCol w:w="1857"/>
        <w:gridCol w:w="1858"/>
        <w:gridCol w:w="1858"/>
        <w:gridCol w:w="1858"/>
      </w:tblGrid>
      <w:tr w:rsidR="00F120DC" w:rsidTr="005909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7" w:type="dxa"/>
          </w:tcPr>
          <w:p w:rsidR="00F120DC" w:rsidRDefault="00F120DC" w:rsidP="00F120DC">
            <w:pPr>
              <w:pStyle w:val="BodyText"/>
            </w:pPr>
          </w:p>
        </w:tc>
        <w:tc>
          <w:tcPr>
            <w:tcW w:w="1857" w:type="dxa"/>
          </w:tcPr>
          <w:p w:rsidR="00F120DC" w:rsidRDefault="00F120DC" w:rsidP="00590988">
            <w:pPr>
              <w:pStyle w:val="BodyText"/>
              <w:jc w:val="center"/>
              <w:cnfStyle w:val="100000000000" w:firstRow="1" w:lastRow="0" w:firstColumn="0" w:lastColumn="0" w:oddVBand="0" w:evenVBand="0" w:oddHBand="0" w:evenHBand="0" w:firstRowFirstColumn="0" w:firstRowLastColumn="0" w:lastRowFirstColumn="0" w:lastRowLastColumn="0"/>
            </w:pPr>
            <w:r>
              <w:t>ICNIRP</w:t>
            </w:r>
          </w:p>
        </w:tc>
        <w:tc>
          <w:tcPr>
            <w:tcW w:w="1858" w:type="dxa"/>
          </w:tcPr>
          <w:p w:rsidR="00F120DC" w:rsidRDefault="00F120DC" w:rsidP="00590988">
            <w:pPr>
              <w:pStyle w:val="BodyText"/>
              <w:jc w:val="center"/>
              <w:cnfStyle w:val="100000000000" w:firstRow="1" w:lastRow="0" w:firstColumn="0" w:lastColumn="0" w:oddVBand="0" w:evenVBand="0" w:oddHBand="0" w:evenHBand="0" w:firstRowFirstColumn="0" w:firstRowLastColumn="0" w:lastRowFirstColumn="0" w:lastRowLastColumn="0"/>
            </w:pPr>
            <w:r>
              <w:t>FCC</w:t>
            </w:r>
          </w:p>
        </w:tc>
        <w:tc>
          <w:tcPr>
            <w:tcW w:w="3716" w:type="dxa"/>
            <w:gridSpan w:val="2"/>
          </w:tcPr>
          <w:p w:rsidR="00F120DC" w:rsidRDefault="00F120DC" w:rsidP="00590988">
            <w:pPr>
              <w:pStyle w:val="BodyText"/>
              <w:jc w:val="center"/>
              <w:cnfStyle w:val="100000000000" w:firstRow="1" w:lastRow="0" w:firstColumn="0" w:lastColumn="0" w:oddVBand="0" w:evenVBand="0" w:oddHBand="0" w:evenHBand="0" w:firstRowFirstColumn="0" w:firstRowLastColumn="0" w:lastRowFirstColumn="0" w:lastRowLastColumn="0"/>
            </w:pPr>
            <w:r>
              <w:t>IEEE</w:t>
            </w:r>
          </w:p>
        </w:tc>
      </w:tr>
      <w:tr w:rsidR="00F120DC" w:rsidTr="00590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7" w:type="dxa"/>
          </w:tcPr>
          <w:p w:rsidR="00F120DC" w:rsidRDefault="00F120DC" w:rsidP="00590988">
            <w:pPr>
              <w:pStyle w:val="BodyText"/>
              <w:jc w:val="center"/>
            </w:pPr>
            <w:r>
              <w:t>f (GHz)</w:t>
            </w:r>
          </w:p>
        </w:tc>
        <w:tc>
          <w:tcPr>
            <w:tcW w:w="1857" w:type="dxa"/>
          </w:tcPr>
          <w:p w:rsidR="00F120DC" w:rsidRDefault="00F120DC" w:rsidP="00590988">
            <w:pPr>
              <w:pStyle w:val="BodyText"/>
              <w:jc w:val="center"/>
              <w:cnfStyle w:val="000000100000" w:firstRow="0" w:lastRow="0" w:firstColumn="0" w:lastColumn="0" w:oddVBand="0" w:evenVBand="0" w:oddHBand="1" w:evenHBand="0" w:firstRowFirstColumn="0" w:firstRowLastColumn="0" w:lastRowFirstColumn="0" w:lastRowLastColumn="0"/>
            </w:pPr>
            <w:r>
              <w:t>10-300</w:t>
            </w:r>
          </w:p>
        </w:tc>
        <w:tc>
          <w:tcPr>
            <w:tcW w:w="1858" w:type="dxa"/>
          </w:tcPr>
          <w:p w:rsidR="00F120DC" w:rsidRDefault="00F120DC" w:rsidP="00590988">
            <w:pPr>
              <w:pStyle w:val="BodyText"/>
              <w:jc w:val="center"/>
              <w:cnfStyle w:val="000000100000" w:firstRow="0" w:lastRow="0" w:firstColumn="0" w:lastColumn="0" w:oddVBand="0" w:evenVBand="0" w:oddHBand="1" w:evenHBand="0" w:firstRowFirstColumn="0" w:firstRowLastColumn="0" w:lastRowFirstColumn="0" w:lastRowLastColumn="0"/>
            </w:pPr>
            <w:r>
              <w:t>6-100</w:t>
            </w:r>
          </w:p>
        </w:tc>
        <w:tc>
          <w:tcPr>
            <w:tcW w:w="1858" w:type="dxa"/>
          </w:tcPr>
          <w:p w:rsidR="00F120DC" w:rsidRDefault="00F120DC" w:rsidP="00590988">
            <w:pPr>
              <w:pStyle w:val="BodyText"/>
              <w:jc w:val="center"/>
              <w:cnfStyle w:val="000000100000" w:firstRow="0" w:lastRow="0" w:firstColumn="0" w:lastColumn="0" w:oddVBand="0" w:evenVBand="0" w:oddHBand="1" w:evenHBand="0" w:firstRowFirstColumn="0" w:firstRowLastColumn="0" w:lastRowFirstColumn="0" w:lastRowLastColumn="0"/>
            </w:pPr>
            <w:r>
              <w:t>3-30</w:t>
            </w:r>
          </w:p>
        </w:tc>
        <w:tc>
          <w:tcPr>
            <w:tcW w:w="1858" w:type="dxa"/>
          </w:tcPr>
          <w:p w:rsidR="00F120DC" w:rsidRDefault="00F120DC" w:rsidP="00590988">
            <w:pPr>
              <w:pStyle w:val="BodyText"/>
              <w:jc w:val="center"/>
              <w:cnfStyle w:val="000000100000" w:firstRow="0" w:lastRow="0" w:firstColumn="0" w:lastColumn="0" w:oddVBand="0" w:evenVBand="0" w:oddHBand="1" w:evenHBand="0" w:firstRowFirstColumn="0" w:firstRowLastColumn="0" w:lastRowFirstColumn="0" w:lastRowLastColumn="0"/>
            </w:pPr>
            <w:r>
              <w:t>30-100</w:t>
            </w:r>
          </w:p>
        </w:tc>
      </w:tr>
      <w:tr w:rsidR="00F120DC" w:rsidTr="00590988">
        <w:tc>
          <w:tcPr>
            <w:cnfStyle w:val="001000000000" w:firstRow="0" w:lastRow="0" w:firstColumn="1" w:lastColumn="0" w:oddVBand="0" w:evenVBand="0" w:oddHBand="0" w:evenHBand="0" w:firstRowFirstColumn="0" w:firstRowLastColumn="0" w:lastRowFirstColumn="0" w:lastRowLastColumn="0"/>
            <w:tcW w:w="1857" w:type="dxa"/>
          </w:tcPr>
          <w:p w:rsidR="00F120DC" w:rsidRPr="00590988" w:rsidRDefault="00590988" w:rsidP="00590988">
            <w:pPr>
              <w:pStyle w:val="BodyText"/>
              <w:jc w:val="center"/>
            </w:pPr>
            <w:r>
              <w:rPr>
                <w:rFonts w:ascii="Cambria Math" w:hAnsi="Cambria Math" w:cs="Cambria Math"/>
              </w:rPr>
              <w:t>𝑆</w:t>
            </w:r>
            <w:proofErr w:type="spellStart"/>
            <w:r w:rsidRPr="00F120DC">
              <w:rPr>
                <w:vertAlign w:val="subscript"/>
              </w:rPr>
              <w:t>lim</w:t>
            </w:r>
            <w:proofErr w:type="spellEnd"/>
            <w:r>
              <w:rPr>
                <w:vertAlign w:val="subscript"/>
              </w:rPr>
              <w:t xml:space="preserve"> </w:t>
            </w:r>
            <w:r>
              <w:t>(W/m</w:t>
            </w:r>
            <w:r>
              <w:rPr>
                <w:vertAlign w:val="superscript"/>
              </w:rPr>
              <w:t>2</w:t>
            </w:r>
            <w:r>
              <w:t>)</w:t>
            </w:r>
          </w:p>
        </w:tc>
        <w:tc>
          <w:tcPr>
            <w:tcW w:w="1857" w:type="dxa"/>
          </w:tcPr>
          <w:p w:rsidR="00590988" w:rsidRDefault="00590988" w:rsidP="00590988">
            <w:pPr>
              <w:pStyle w:val="BodyText"/>
              <w:jc w:val="center"/>
              <w:cnfStyle w:val="000000000000" w:firstRow="0" w:lastRow="0" w:firstColumn="0" w:lastColumn="0" w:oddVBand="0" w:evenVBand="0" w:oddHBand="0" w:evenHBand="0" w:firstRowFirstColumn="0" w:firstRowLastColumn="0" w:lastRowFirstColumn="0" w:lastRowLastColumn="0"/>
            </w:pPr>
            <w:r w:rsidRPr="00590988">
              <w:t>10 (20 cm</w:t>
            </w:r>
            <w:r w:rsidRPr="00590988">
              <w:rPr>
                <w:vertAlign w:val="superscript"/>
              </w:rPr>
              <w:t>2</w:t>
            </w:r>
            <w:r w:rsidRPr="00590988">
              <w:t>)</w:t>
            </w:r>
          </w:p>
          <w:p w:rsidR="00F120DC" w:rsidRDefault="00590988" w:rsidP="00590988">
            <w:pPr>
              <w:pStyle w:val="BodyText"/>
              <w:jc w:val="center"/>
              <w:cnfStyle w:val="000000000000" w:firstRow="0" w:lastRow="0" w:firstColumn="0" w:lastColumn="0" w:oddVBand="0" w:evenVBand="0" w:oddHBand="0" w:evenHBand="0" w:firstRowFirstColumn="0" w:firstRowLastColumn="0" w:lastRowFirstColumn="0" w:lastRowLastColumn="0"/>
            </w:pPr>
            <w:r w:rsidRPr="00590988">
              <w:t>200 (1 cm</w:t>
            </w:r>
            <w:r w:rsidRPr="00590988">
              <w:rPr>
                <w:vertAlign w:val="superscript"/>
              </w:rPr>
              <w:t>2</w:t>
            </w:r>
            <w:r w:rsidRPr="00590988">
              <w:t>)</w:t>
            </w:r>
          </w:p>
        </w:tc>
        <w:tc>
          <w:tcPr>
            <w:tcW w:w="1858" w:type="dxa"/>
          </w:tcPr>
          <w:p w:rsidR="00F120DC" w:rsidRDefault="00590988" w:rsidP="00590988">
            <w:pPr>
              <w:pStyle w:val="BodyText"/>
              <w:jc w:val="center"/>
              <w:cnfStyle w:val="000000000000" w:firstRow="0" w:lastRow="0" w:firstColumn="0" w:lastColumn="0" w:oddVBand="0" w:evenVBand="0" w:oddHBand="0" w:evenHBand="0" w:firstRowFirstColumn="0" w:firstRowLastColumn="0" w:lastRowFirstColumn="0" w:lastRowLastColumn="0"/>
            </w:pPr>
            <w:r>
              <w:t xml:space="preserve">10 </w:t>
            </w:r>
            <w:r w:rsidRPr="00590988">
              <w:t>(1 cm</w:t>
            </w:r>
            <w:r w:rsidRPr="00590988">
              <w:rPr>
                <w:vertAlign w:val="superscript"/>
              </w:rPr>
              <w:t>2</w:t>
            </w:r>
            <w:r w:rsidRPr="00590988">
              <w:t>)</w:t>
            </w:r>
          </w:p>
        </w:tc>
        <w:tc>
          <w:tcPr>
            <w:tcW w:w="1858" w:type="dxa"/>
          </w:tcPr>
          <w:p w:rsidR="00F120DC" w:rsidRDefault="00590988" w:rsidP="00590988">
            <w:pPr>
              <w:pStyle w:val="BodyText"/>
              <w:jc w:val="center"/>
              <w:cnfStyle w:val="000000000000" w:firstRow="0" w:lastRow="0" w:firstColumn="0" w:lastColumn="0" w:oddVBand="0" w:evenVBand="0" w:oddHBand="0" w:evenHBand="0" w:firstRowFirstColumn="0" w:firstRowLastColumn="0" w:lastRowFirstColumn="0" w:lastRowLastColumn="0"/>
            </w:pPr>
            <w:r>
              <w:t>10</w:t>
            </w:r>
            <w:r w:rsidRPr="00590988">
              <w:t xml:space="preserve"> (</w:t>
            </w:r>
            <w:r>
              <w:t>100</w:t>
            </w:r>
            <w:r>
              <w:rPr>
                <w:rFonts w:ascii="Cambria Math" w:hAnsi="Cambria Math" w:cs="Cambria Math"/>
              </w:rPr>
              <w:t>𝜆</w:t>
            </w:r>
            <w:r w:rsidRPr="00F120DC">
              <w:rPr>
                <w:vertAlign w:val="superscript"/>
              </w:rPr>
              <w:t>2</w:t>
            </w:r>
            <w:r w:rsidRPr="00590988">
              <w:t>)</w:t>
            </w:r>
          </w:p>
          <w:p w:rsidR="00590988" w:rsidRDefault="00590988" w:rsidP="00590988">
            <w:pPr>
              <w:pStyle w:val="BodyText"/>
              <w:jc w:val="center"/>
              <w:cnfStyle w:val="000000000000" w:firstRow="0" w:lastRow="0" w:firstColumn="0" w:lastColumn="0" w:oddVBand="0" w:evenVBand="0" w:oddHBand="0" w:evenHBand="0" w:firstRowFirstColumn="0" w:firstRowLastColumn="0" w:lastRowFirstColumn="0" w:lastRowLastColumn="0"/>
            </w:pPr>
            <w:r>
              <w:t>18.56</w:t>
            </w:r>
            <w:r>
              <w:rPr>
                <w:rFonts w:ascii="Cambria Math" w:hAnsi="Cambria Math" w:cs="Cambria Math"/>
              </w:rPr>
              <w:t>𝑓</w:t>
            </w:r>
            <w:r>
              <w:rPr>
                <w:vertAlign w:val="superscript"/>
              </w:rPr>
              <w:t>0.</w:t>
            </w:r>
            <w:r w:rsidRPr="00F120DC">
              <w:rPr>
                <w:vertAlign w:val="superscript"/>
              </w:rPr>
              <w:t>699</w:t>
            </w:r>
          </w:p>
        </w:tc>
        <w:tc>
          <w:tcPr>
            <w:tcW w:w="1858" w:type="dxa"/>
          </w:tcPr>
          <w:p w:rsidR="00590988" w:rsidRDefault="00590988" w:rsidP="00590988">
            <w:pPr>
              <w:pStyle w:val="BodyText"/>
              <w:jc w:val="center"/>
              <w:cnfStyle w:val="000000000000" w:firstRow="0" w:lastRow="0" w:firstColumn="0" w:lastColumn="0" w:oddVBand="0" w:evenVBand="0" w:oddHBand="0" w:evenHBand="0" w:firstRowFirstColumn="0" w:firstRowLastColumn="0" w:lastRowFirstColumn="0" w:lastRowLastColumn="0"/>
            </w:pPr>
            <w:r w:rsidRPr="00590988">
              <w:t>10 (100 cm</w:t>
            </w:r>
            <w:r w:rsidRPr="00590988">
              <w:rPr>
                <w:vertAlign w:val="superscript"/>
              </w:rPr>
              <w:t>2</w:t>
            </w:r>
            <w:r w:rsidRPr="00590988">
              <w:t>)</w:t>
            </w:r>
          </w:p>
          <w:p w:rsidR="00F120DC" w:rsidRDefault="00590988" w:rsidP="00590988">
            <w:pPr>
              <w:pStyle w:val="BodyText"/>
              <w:jc w:val="center"/>
              <w:cnfStyle w:val="000000000000" w:firstRow="0" w:lastRow="0" w:firstColumn="0" w:lastColumn="0" w:oddVBand="0" w:evenVBand="0" w:oddHBand="0" w:evenHBand="0" w:firstRowFirstColumn="0" w:firstRowLastColumn="0" w:lastRowFirstColumn="0" w:lastRowLastColumn="0"/>
            </w:pPr>
            <w:r w:rsidRPr="00590988">
              <w:t>200</w:t>
            </w:r>
          </w:p>
        </w:tc>
      </w:tr>
    </w:tbl>
    <w:p w:rsidR="00F120DC" w:rsidRDefault="00F120DC" w:rsidP="00F120DC">
      <w:pPr>
        <w:pStyle w:val="BodyText"/>
      </w:pPr>
    </w:p>
    <w:p w:rsidR="00F120DC" w:rsidRDefault="00F120DC" w:rsidP="00F120DC">
      <w:pPr>
        <w:pStyle w:val="BodyText"/>
      </w:pPr>
    </w:p>
    <w:p w:rsidR="00DD3792" w:rsidRDefault="00DD3792" w:rsidP="00F120DC">
      <w:pPr>
        <w:pStyle w:val="Heading1"/>
        <w:spacing w:before="180"/>
        <w:ind w:left="562" w:hanging="562"/>
      </w:pPr>
      <w:r>
        <w:t>Compliance distance for BS</w:t>
      </w:r>
    </w:p>
    <w:p w:rsidR="00DD3792" w:rsidRDefault="00DD3792" w:rsidP="00DD3792">
      <w:pPr>
        <w:pStyle w:val="BodyText"/>
      </w:pPr>
      <w:r>
        <w:t xml:space="preserve">Based on the far field formula, the compliance distance </w:t>
      </w:r>
      <w:r w:rsidR="0086253C">
        <w:t xml:space="preserve">from a single BS </w:t>
      </w:r>
      <w:r>
        <w:t xml:space="preserve">can be expressed as below. </w:t>
      </w:r>
    </w:p>
    <w:p w:rsidR="00DD3792" w:rsidRPr="00DD3792" w:rsidRDefault="00DD3792" w:rsidP="00DD3792">
      <w:pPr>
        <w:pStyle w:val="BodyText"/>
      </w:pPr>
      <m:oMathPara>
        <m:oMath>
          <m:r>
            <w:rPr>
              <w:rFonts w:ascii="Cambria Math" w:hAnsi="Cambria Math"/>
            </w:rPr>
            <m:t>CD</m:t>
          </m:r>
          <m:d>
            <m:dPr>
              <m:ctrlPr>
                <w:rPr>
                  <w:rFonts w:ascii="Cambria Math" w:hAnsi="Cambria Math"/>
                  <w:i/>
                </w:rPr>
              </m:ctrlPr>
            </m:dPr>
            <m:e>
              <m:r>
                <w:rPr>
                  <w:rFonts w:ascii="Cambria Math" w:hAnsi="Cambria Math"/>
                </w:rPr>
                <m:t>θ,ϕ</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EIRP(θ,ϕ)</m:t>
                  </m:r>
                </m:num>
                <m:den>
                  <m:r>
                    <w:rPr>
                      <w:rFonts w:ascii="Cambria Math" w:hAnsi="Cambria Math"/>
                    </w:rPr>
                    <m:t>4π</m:t>
                  </m:r>
                  <m:sSub>
                    <m:sSubPr>
                      <m:ctrlPr>
                        <w:rPr>
                          <w:rFonts w:ascii="Cambria Math" w:hAnsi="Cambria Math"/>
                          <w:i/>
                        </w:rPr>
                      </m:ctrlPr>
                    </m:sSubPr>
                    <m:e>
                      <m:r>
                        <w:rPr>
                          <w:rFonts w:ascii="Cambria Math" w:hAnsi="Cambria Math"/>
                        </w:rPr>
                        <m:t>S</m:t>
                      </m:r>
                    </m:e>
                    <m:sub>
                      <m:r>
                        <w:rPr>
                          <w:rFonts w:ascii="Cambria Math" w:hAnsi="Cambria Math"/>
                        </w:rPr>
                        <m:t>lim</m:t>
                      </m:r>
                    </m:sub>
                  </m:sSub>
                </m:den>
              </m:f>
            </m:e>
          </m:rad>
        </m:oMath>
      </m:oMathPara>
    </w:p>
    <w:p w:rsidR="00DD3792" w:rsidRDefault="00DD3792" w:rsidP="00DD3792">
      <w:pPr>
        <w:pStyle w:val="BodyText"/>
      </w:pPr>
      <w:r>
        <w:t xml:space="preserve">Inserting the </w:t>
      </w:r>
      <w:r w:rsidR="006322D3">
        <w:t>regulated limit on power density of S</w:t>
      </w:r>
      <w:r w:rsidR="006322D3" w:rsidRPr="006322D3">
        <w:rPr>
          <w:vertAlign w:val="subscript"/>
        </w:rPr>
        <w:t>lim</w:t>
      </w:r>
      <w:r w:rsidR="006322D3">
        <w:t>= 10 W/m</w:t>
      </w:r>
      <w:r w:rsidR="006322D3">
        <w:rPr>
          <w:vertAlign w:val="superscript"/>
        </w:rPr>
        <w:t>2</w:t>
      </w:r>
      <w:r w:rsidR="006322D3">
        <w:t xml:space="preserve">, we arrive at the compliance distance as a function of EIRP as in Figure 1 below. </w:t>
      </w:r>
    </w:p>
    <w:p w:rsidR="006322D3" w:rsidRDefault="006322D3" w:rsidP="00DD3792">
      <w:pPr>
        <w:pStyle w:val="BodyText"/>
      </w:pPr>
    </w:p>
    <w:p w:rsidR="006322D3" w:rsidRDefault="006322D3" w:rsidP="006322D3">
      <w:pPr>
        <w:pStyle w:val="BodyText"/>
        <w:keepNext/>
        <w:jc w:val="center"/>
      </w:pPr>
      <w:r w:rsidRPr="006322D3">
        <w:rPr>
          <w:noProof/>
        </w:rPr>
        <w:drawing>
          <wp:inline distT="0" distB="0" distL="0" distR="0" wp14:anchorId="252F11C8" wp14:editId="19C9F04A">
            <wp:extent cx="4129223" cy="2295525"/>
            <wp:effectExtent l="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31945" cy="2297038"/>
                    </a:xfrm>
                    <a:prstGeom prst="rect">
                      <a:avLst/>
                    </a:prstGeom>
                  </pic:spPr>
                </pic:pic>
              </a:graphicData>
            </a:graphic>
          </wp:inline>
        </w:drawing>
      </w:r>
    </w:p>
    <w:p w:rsidR="006322D3" w:rsidRDefault="006322D3" w:rsidP="006322D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Pr="006322D3">
        <w:t xml:space="preserve"> </w:t>
      </w:r>
      <w:r>
        <w:t>Compliance distance as a function of EIRP</w:t>
      </w:r>
    </w:p>
    <w:p w:rsidR="006322D3" w:rsidRDefault="006322D3" w:rsidP="006322D3"/>
    <w:p w:rsidR="006322D3" w:rsidRPr="006322D3" w:rsidRDefault="006322D3" w:rsidP="006322D3">
      <w:r>
        <w:t xml:space="preserve">For example, the 10 meter compliance distance allows for an EIRP of 71 dBm and a 25 meter corresponds to 79 dBm EIRP. </w:t>
      </w:r>
    </w:p>
    <w:p w:rsidR="00F120DC" w:rsidRDefault="006322D3" w:rsidP="00F120DC">
      <w:pPr>
        <w:pStyle w:val="Heading1"/>
        <w:spacing w:before="180"/>
        <w:ind w:left="562" w:hanging="562"/>
      </w:pPr>
      <w:r>
        <w:t>BS EIRP in different s</w:t>
      </w:r>
      <w:r w:rsidR="00F120DC">
        <w:t>cenarios</w:t>
      </w:r>
    </w:p>
    <w:p w:rsidR="00F120DC" w:rsidRPr="00F120DC" w:rsidRDefault="006322D3" w:rsidP="00F120DC">
      <w:pPr>
        <w:pStyle w:val="BodyText"/>
      </w:pPr>
      <w:r>
        <w:t>In this section we discuss reasonable values for maximum BS EIRP for each scenario, taking into account the compliance distance.</w:t>
      </w:r>
      <w:r w:rsidR="00652A6F">
        <w:t xml:space="preserve"> The relevant RAN1 agreed assumptions can be found in the appendix.</w:t>
      </w:r>
    </w:p>
    <w:p w:rsidR="00FA3EF4" w:rsidRDefault="00FA3EF4" w:rsidP="00FA3EF4">
      <w:pPr>
        <w:pStyle w:val="Heading2"/>
      </w:pPr>
      <w:r>
        <w:t>Urban macro</w:t>
      </w:r>
    </w:p>
    <w:p w:rsidR="0086253C" w:rsidRDefault="006322D3" w:rsidP="006322D3">
      <w:pPr>
        <w:pStyle w:val="BodyText"/>
      </w:pPr>
      <w:r>
        <w:t xml:space="preserve">In this scenario, which operates at 4 GHz and 30 GHz in the evaluation assumptions, up to 256 cross-polarized antenna elements is assumed for the BS. The antenna element gain is assumed to be 8 </w:t>
      </w:r>
      <w:proofErr w:type="spellStart"/>
      <w:r>
        <w:t>dBi</w:t>
      </w:r>
      <w:proofErr w:type="spellEnd"/>
      <w:r>
        <w:t xml:space="preserve"> leading to a 2</w:t>
      </w:r>
      <w:r w:rsidR="0086253C">
        <w:t xml:space="preserve">9 </w:t>
      </w:r>
      <w:proofErr w:type="spellStart"/>
      <w:r w:rsidR="0086253C">
        <w:t>dBi</w:t>
      </w:r>
      <w:proofErr w:type="spellEnd"/>
      <w:r w:rsidR="0086253C">
        <w:t xml:space="preserve"> maximum antenna array gain</w:t>
      </w:r>
      <w:r>
        <w:t>.</w:t>
      </w:r>
      <w:r w:rsidR="0086253C">
        <w:t xml:space="preserve"> The maximum output power is assumed to be 49 dBm and 43 dBm for 4 and 30 GHz respectively, leading to EIRP of 78 and 72 dBm for 4 and 30 GHz respectively. </w:t>
      </w:r>
    </w:p>
    <w:p w:rsidR="0086253C" w:rsidRDefault="0086253C" w:rsidP="006322D3">
      <w:pPr>
        <w:pStyle w:val="BodyText"/>
      </w:pPr>
      <w:r>
        <w:t xml:space="preserve">This leads to compliance distances of 25 meters and 11 meters for 4 GHz and 30 GHz respectively. The BS antenna height for the urban macro is 25 meters in the 3GPP RAN1 evaluation assumptions. Hence the bracketed </w:t>
      </w:r>
      <w:proofErr w:type="gramStart"/>
      <w:r>
        <w:t xml:space="preserve">value of 78 </w:t>
      </w:r>
      <w:r w:rsidR="00652A6F">
        <w:t>dBm</w:t>
      </w:r>
      <w:r>
        <w:t xml:space="preserve"> seem</w:t>
      </w:r>
      <w:proofErr w:type="gramEnd"/>
      <w:r>
        <w:t xml:space="preserve"> to be a reasonable EIRP limit for urban macro.</w:t>
      </w:r>
    </w:p>
    <w:p w:rsidR="0086253C" w:rsidRPr="00FA3EF4" w:rsidRDefault="0086253C" w:rsidP="00C66CB1">
      <w:pPr>
        <w:pStyle w:val="BodyText"/>
        <w:ind w:firstLine="567"/>
      </w:pPr>
      <w:r w:rsidRPr="00C66CB1">
        <w:rPr>
          <w:b/>
        </w:rPr>
        <w:t>Proposal 1:</w:t>
      </w:r>
      <w:r>
        <w:t xml:space="preserve"> Remove the brackets </w:t>
      </w:r>
      <w:r w:rsidR="00C66CB1">
        <w:t>for urban macro scenario to set the EIRP limit to 78 dBm</w:t>
      </w:r>
    </w:p>
    <w:p w:rsidR="00FA3EF4" w:rsidRDefault="00FA3EF4" w:rsidP="00FA3EF4">
      <w:pPr>
        <w:pStyle w:val="Heading2"/>
      </w:pPr>
      <w:r>
        <w:t>Dense urban:</w:t>
      </w:r>
    </w:p>
    <w:p w:rsidR="00C66CB1" w:rsidRDefault="00C66CB1" w:rsidP="00C66CB1">
      <w:pPr>
        <w:pStyle w:val="BodyText"/>
      </w:pPr>
      <w:r>
        <w:t xml:space="preserve">In this scenario we have a 4 GHz carrier frequency for macro layer and 4 and 30 carrier frequency for the micro layer. There is also an optional 70 GHz carrier in the micro layer which will be discussed below. The BS heights are assumed to be 25 meters for macro cells and 10 meters for micro cells and 256 antenna elements is used. The BS power is 44 dBm for macro layer and 33 dBm for the micro layer. </w:t>
      </w:r>
    </w:p>
    <w:p w:rsidR="00C66CB1" w:rsidRDefault="00C66CB1" w:rsidP="00C66CB1">
      <w:pPr>
        <w:pStyle w:val="BodyText"/>
      </w:pPr>
      <w:r>
        <w:t xml:space="preserve">Hence, for the macro cell, the </w:t>
      </w:r>
      <w:r w:rsidR="00C63A01">
        <w:t>compliance distance is about 12.6</w:t>
      </w:r>
      <w:r>
        <w:t xml:space="preserve"> meters, which is clearly smaller than the 25 meter BS height. </w:t>
      </w:r>
      <w:r w:rsidR="00C63A01">
        <w:t xml:space="preserve">For the micro cell, the compliance distance is 3.5 meters, given the 11 dB lower output power compared to the macro layer, and also well within the 10 meter BS height. </w:t>
      </w:r>
    </w:p>
    <w:p w:rsidR="00C63A01" w:rsidRDefault="00C63A01" w:rsidP="00C66CB1">
      <w:pPr>
        <w:pStyle w:val="BodyText"/>
      </w:pPr>
      <w:r>
        <w:lastRenderedPageBreak/>
        <w:t>The corresponding maximal EIRPs given the assumptions: 44+29=73 dBm and 33+29=62 dBm for the macro and micro layers respectively, can be taken as the maximum allowed EIRP in dense urban for up to 30 GHz.</w:t>
      </w:r>
    </w:p>
    <w:p w:rsidR="00C63A01" w:rsidRPr="00C63A01" w:rsidRDefault="00C63A01" w:rsidP="00C63A01">
      <w:pPr>
        <w:pStyle w:val="BodyText"/>
      </w:pPr>
      <w:r w:rsidRPr="00C63A01">
        <w:t xml:space="preserve">There is also an optional use of a 70 GHz micro layer with </w:t>
      </w:r>
      <w:r>
        <w:t xml:space="preserve">up to </w:t>
      </w:r>
      <w:r w:rsidRPr="00C63A01">
        <w:t xml:space="preserve">1024 antenna elements. This gives </w:t>
      </w:r>
      <w:proofErr w:type="gramStart"/>
      <w:r w:rsidRPr="00C63A01">
        <w:t>an</w:t>
      </w:r>
      <w:proofErr w:type="gramEnd"/>
      <w:r>
        <w:t xml:space="preserve"> maximum EIRP of 33+35 dBm = 68 dBm, corresponding to a compliance distance of 7 meters,</w:t>
      </w:r>
      <w:r w:rsidR="0001130E">
        <w:t xml:space="preserve"> also well within the 10 meter BS height.</w:t>
      </w:r>
      <w:r w:rsidRPr="00C63A01">
        <w:t xml:space="preserve"> </w:t>
      </w:r>
    </w:p>
    <w:p w:rsidR="0001130E" w:rsidRPr="0001130E" w:rsidRDefault="0001130E" w:rsidP="0001130E">
      <w:pPr>
        <w:pStyle w:val="BodyText"/>
      </w:pPr>
      <w:r w:rsidRPr="0001130E">
        <w:t>To cover all the cases includi</w:t>
      </w:r>
      <w:r>
        <w:t xml:space="preserve">ng the optional for dense urban scenario, we </w:t>
      </w:r>
      <w:r w:rsidRPr="0001130E">
        <w:t>make the following proposal</w:t>
      </w:r>
    </w:p>
    <w:p w:rsidR="00FA3EF4" w:rsidRDefault="00C63A01" w:rsidP="0001130E">
      <w:pPr>
        <w:pStyle w:val="BodyText"/>
        <w:ind w:left="567"/>
      </w:pPr>
      <w:r>
        <w:rPr>
          <w:b/>
        </w:rPr>
        <w:t>Proposal 2</w:t>
      </w:r>
      <w:r w:rsidRPr="00C66CB1">
        <w:rPr>
          <w:b/>
        </w:rPr>
        <w:t>:</w:t>
      </w:r>
      <w:r>
        <w:t xml:space="preserve"> In dense urban scenario, set the EIRP limit to 73 dBm</w:t>
      </w:r>
      <w:r w:rsidR="0001130E">
        <w:t xml:space="preserve"> and 68</w:t>
      </w:r>
      <w:r>
        <w:t xml:space="preserve"> dBm for the macro and micro layers respectively.</w:t>
      </w:r>
    </w:p>
    <w:p w:rsidR="00984292" w:rsidRPr="00984292" w:rsidRDefault="00984292" w:rsidP="00984292">
      <w:pPr>
        <w:pStyle w:val="BodyText"/>
      </w:pPr>
      <w:r>
        <w:t>Note that s</w:t>
      </w:r>
      <w:r w:rsidRPr="00984292">
        <w:t xml:space="preserve">ince the ISD in the dense urban scenario can be small in the micro layer (it is 200 meters in the macro layer), there may be radiation power additions from multiple micro BSs. For </w:t>
      </w:r>
      <w:r>
        <w:t xml:space="preserve">such large </w:t>
      </w:r>
      <w:r w:rsidRPr="00984292">
        <w:t>antenna element BS</w:t>
      </w:r>
      <w:r>
        <w:t>s</w:t>
      </w:r>
      <w:r w:rsidRPr="00984292">
        <w:t>, th</w:t>
      </w:r>
      <w:r>
        <w:t>is is however highly unlikely to occur du</w:t>
      </w:r>
      <w:r w:rsidRPr="00984292">
        <w:t xml:space="preserve">e to the fact the beam is extremely narrow in beam width. </w:t>
      </w:r>
      <w:r>
        <w:t>Hence, the EIRP limits proposed above are adequate.</w:t>
      </w:r>
    </w:p>
    <w:p w:rsidR="00FA3EF4" w:rsidRDefault="008E07FE" w:rsidP="00FA3EF4">
      <w:pPr>
        <w:pStyle w:val="Heading2"/>
      </w:pPr>
      <w:r>
        <w:t>Indoor open office</w:t>
      </w:r>
    </w:p>
    <w:p w:rsidR="00FA3EF4" w:rsidRDefault="00984292" w:rsidP="00984292">
      <w:pPr>
        <w:pStyle w:val="BodyText"/>
      </w:pPr>
      <w:r>
        <w:t xml:space="preserve">In the indoor office scenario, the BS height is only 3 meters, and it may </w:t>
      </w:r>
      <w:r w:rsidR="00D2701C">
        <w:t xml:space="preserve">thus </w:t>
      </w:r>
      <w:r>
        <w:t>happen that a person’s head is only 1 meter from the radiator. The BS power assumption is only 24 and 23 dBm for below and above 6 GHz respectively. With a 1 meter compliance distance, the m</w:t>
      </w:r>
      <w:r w:rsidR="00CB786C">
        <w:t xml:space="preserve">aximum EIRP is 51 dBm, which should be compared to the possible EIRP of 53 and 52 dBm for the 4 and 30 GHz cases (with 256 antennas) and 58 dBm for the 70 GHz case. </w:t>
      </w:r>
    </w:p>
    <w:p w:rsidR="00CB786C" w:rsidRPr="00FA3EF4" w:rsidRDefault="00CB786C" w:rsidP="00984292">
      <w:pPr>
        <w:pStyle w:val="BodyText"/>
      </w:pPr>
      <w:r>
        <w:t>We believe that the maximum EIRP given the assumptions (53</w:t>
      </w:r>
      <w:proofErr w:type="gramStart"/>
      <w:r>
        <w:t>,52</w:t>
      </w:r>
      <w:proofErr w:type="gramEnd"/>
      <w:r>
        <w:t xml:space="preserve"> and 58 dBm)</w:t>
      </w:r>
      <w:r w:rsidR="00D2701C">
        <w:t xml:space="preserve"> still</w:t>
      </w:r>
      <w:r>
        <w:t xml:space="preserve"> </w:t>
      </w:r>
      <w:r w:rsidR="008E07FE">
        <w:t>could</w:t>
      </w:r>
      <w:r>
        <w:t xml:space="preserve"> be used in the evaluations. In an indoor deployment, there are solution </w:t>
      </w:r>
      <w:r w:rsidRPr="00CB786C">
        <w:t xml:space="preserve">to control the transmit power and antenna diagram based on a pre-defined human zone where humans are expected to be present. The transmit power and antenna diagram are </w:t>
      </w:r>
      <w:r>
        <w:t xml:space="preserve">in this case </w:t>
      </w:r>
      <w:r w:rsidRPr="00CB786C">
        <w:t>controlled so that in the zone where humans are present, a certain power density limit is not exceeded. This is achieved via the use of a beamforming processor that adjusts the shape and/or power of a beam such that the (high) estimate of the power density on the human zone border is within a predefined exposure limit.</w:t>
      </w:r>
      <w:r>
        <w:t xml:space="preserve"> </w:t>
      </w:r>
    </w:p>
    <w:p w:rsidR="00835FF4" w:rsidRPr="00835FF4" w:rsidRDefault="008E07FE" w:rsidP="00D2701C">
      <w:pPr>
        <w:pStyle w:val="BodyText"/>
        <w:ind w:left="567"/>
      </w:pPr>
      <w:r>
        <w:rPr>
          <w:b/>
        </w:rPr>
        <w:t xml:space="preserve">Proposal </w:t>
      </w:r>
      <w:r w:rsidR="00D2701C">
        <w:rPr>
          <w:b/>
        </w:rPr>
        <w:t>3</w:t>
      </w:r>
      <w:r w:rsidRPr="00C66CB1">
        <w:rPr>
          <w:b/>
        </w:rPr>
        <w:t>:</w:t>
      </w:r>
      <w:r>
        <w:t xml:space="preserve"> In indoor open office scenarios</w:t>
      </w:r>
      <w:r w:rsidR="00D2701C">
        <w:t>, set the EIRP limit to 58</w:t>
      </w:r>
      <w:r>
        <w:t xml:space="preserve"> </w:t>
      </w:r>
      <w:proofErr w:type="gramStart"/>
      <w:r>
        <w:t>dBm .</w:t>
      </w:r>
      <w:proofErr w:type="gramEnd"/>
    </w:p>
    <w:p w:rsidR="00FE5799" w:rsidRDefault="00FE5799" w:rsidP="00BA76BC">
      <w:pPr>
        <w:pStyle w:val="Heading1"/>
        <w:spacing w:before="180"/>
        <w:ind w:left="562" w:hanging="562"/>
      </w:pPr>
      <w:r>
        <w:t>Conclusion</w:t>
      </w:r>
    </w:p>
    <w:p w:rsidR="00D2701C" w:rsidRDefault="00D2701C" w:rsidP="00D2701C">
      <w:pPr>
        <w:pStyle w:val="BodyText"/>
      </w:pPr>
      <w:r>
        <w:t>We summarize this contribution with the following proposals:</w:t>
      </w:r>
    </w:p>
    <w:p w:rsidR="00D2701C" w:rsidRPr="00FA3EF4" w:rsidRDefault="00D2701C" w:rsidP="00D2701C">
      <w:pPr>
        <w:pStyle w:val="BodyText"/>
        <w:ind w:firstLine="567"/>
      </w:pPr>
      <w:r w:rsidRPr="00C66CB1">
        <w:rPr>
          <w:b/>
        </w:rPr>
        <w:t>Proposal 1:</w:t>
      </w:r>
      <w:r>
        <w:t xml:space="preserve"> Remove the brackets for urban macro scenario to set the EIRP limit to 78 dBm</w:t>
      </w:r>
    </w:p>
    <w:p w:rsidR="00D2701C" w:rsidRDefault="00D2701C" w:rsidP="00D2701C">
      <w:pPr>
        <w:pStyle w:val="BodyText"/>
        <w:ind w:left="567"/>
      </w:pPr>
      <w:r>
        <w:rPr>
          <w:b/>
        </w:rPr>
        <w:t>Proposal 2</w:t>
      </w:r>
      <w:r w:rsidRPr="00C66CB1">
        <w:rPr>
          <w:b/>
        </w:rPr>
        <w:t>:</w:t>
      </w:r>
      <w:r>
        <w:t xml:space="preserve"> In dense urban scenario, set the EIRP limit to 73 dBm and 68 dBm for the macro and micro layers respectively.</w:t>
      </w:r>
    </w:p>
    <w:p w:rsidR="00D2701C" w:rsidRPr="00D2701C" w:rsidRDefault="00D2701C" w:rsidP="00D2701C">
      <w:pPr>
        <w:pStyle w:val="BodyText"/>
        <w:ind w:left="567"/>
      </w:pPr>
      <w:r>
        <w:rPr>
          <w:b/>
        </w:rPr>
        <w:t>Proposal 3</w:t>
      </w:r>
      <w:r w:rsidRPr="00C66CB1">
        <w:rPr>
          <w:b/>
        </w:rPr>
        <w:t>:</w:t>
      </w:r>
      <w:r>
        <w:t xml:space="preserve"> In indoor open office scenarios, set the EIRP limit to 58 </w:t>
      </w:r>
      <w:proofErr w:type="gramStart"/>
      <w:r>
        <w:t>dBm .</w:t>
      </w:r>
      <w:proofErr w:type="gramEnd"/>
    </w:p>
    <w:p w:rsidR="00A04CC6" w:rsidRDefault="00D2701C" w:rsidP="00A04CC6">
      <w:pPr>
        <w:pStyle w:val="Heading1"/>
        <w:spacing w:before="180"/>
        <w:ind w:left="562" w:hanging="562"/>
      </w:pPr>
      <w:r>
        <w:t>Appendix</w:t>
      </w:r>
    </w:p>
    <w:p w:rsidR="00A04CC6" w:rsidRDefault="00A04CC6" w:rsidP="00A04CC6">
      <w:pPr>
        <w:pStyle w:val="BodyText"/>
        <w:rPr>
          <w:szCs w:val="20"/>
        </w:rPr>
      </w:pPr>
      <w:r>
        <w:rPr>
          <w:szCs w:val="20"/>
        </w:rPr>
        <w:t>Some of the agreed evaluation assumptions after RAN1#85:</w:t>
      </w:r>
    </w:p>
    <w:tbl>
      <w:tblPr>
        <w:tblStyle w:val="MediumGrid3-Accent1"/>
        <w:tblW w:w="0" w:type="auto"/>
        <w:tblLook w:val="04A0" w:firstRow="1" w:lastRow="0" w:firstColumn="1" w:lastColumn="0" w:noHBand="0" w:noVBand="1"/>
      </w:tblPr>
      <w:tblGrid>
        <w:gridCol w:w="2322"/>
        <w:gridCol w:w="2322"/>
        <w:gridCol w:w="2322"/>
        <w:gridCol w:w="2322"/>
      </w:tblGrid>
      <w:tr w:rsidR="00A04CC6" w:rsidTr="00652A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2" w:type="dxa"/>
          </w:tcPr>
          <w:p w:rsidR="00A04CC6" w:rsidRDefault="00A04CC6" w:rsidP="00A04CC6">
            <w:pPr>
              <w:pStyle w:val="BodyText"/>
              <w:rPr>
                <w:szCs w:val="20"/>
              </w:rPr>
            </w:pPr>
            <w:r>
              <w:rPr>
                <w:szCs w:val="20"/>
              </w:rPr>
              <w:t>Scenario</w:t>
            </w:r>
          </w:p>
        </w:tc>
        <w:tc>
          <w:tcPr>
            <w:tcW w:w="2322" w:type="dxa"/>
          </w:tcPr>
          <w:p w:rsidR="00A04CC6" w:rsidRDefault="00A04CC6" w:rsidP="00A04CC6">
            <w:pPr>
              <w:pStyle w:val="BodyText"/>
              <w:cnfStyle w:val="100000000000" w:firstRow="1" w:lastRow="0" w:firstColumn="0" w:lastColumn="0" w:oddVBand="0" w:evenVBand="0" w:oddHBand="0" w:evenHBand="0" w:firstRowFirstColumn="0" w:firstRowLastColumn="0" w:lastRowFirstColumn="0" w:lastRowLastColumn="0"/>
              <w:rPr>
                <w:szCs w:val="20"/>
              </w:rPr>
            </w:pPr>
            <w:r>
              <w:rPr>
                <w:szCs w:val="20"/>
              </w:rPr>
              <w:t>BS height</w:t>
            </w:r>
          </w:p>
        </w:tc>
        <w:tc>
          <w:tcPr>
            <w:tcW w:w="2322" w:type="dxa"/>
          </w:tcPr>
          <w:p w:rsidR="00A04CC6" w:rsidRDefault="00A04CC6" w:rsidP="00A04CC6">
            <w:pPr>
              <w:pStyle w:val="BodyText"/>
              <w:cnfStyle w:val="100000000000" w:firstRow="1" w:lastRow="0" w:firstColumn="0" w:lastColumn="0" w:oddVBand="0" w:evenVBand="0" w:oddHBand="0" w:evenHBand="0" w:firstRowFirstColumn="0" w:firstRowLastColumn="0" w:lastRowFirstColumn="0" w:lastRowLastColumn="0"/>
              <w:rPr>
                <w:szCs w:val="20"/>
              </w:rPr>
            </w:pPr>
            <w:r>
              <w:rPr>
                <w:szCs w:val="20"/>
              </w:rPr>
              <w:t>BS power</w:t>
            </w:r>
          </w:p>
        </w:tc>
        <w:tc>
          <w:tcPr>
            <w:tcW w:w="2322" w:type="dxa"/>
          </w:tcPr>
          <w:p w:rsidR="00A04CC6" w:rsidRDefault="00652A6F" w:rsidP="00A04CC6">
            <w:pPr>
              <w:pStyle w:val="BodyText"/>
              <w:cnfStyle w:val="100000000000" w:firstRow="1" w:lastRow="0" w:firstColumn="0" w:lastColumn="0" w:oddVBand="0" w:evenVBand="0" w:oddHBand="0" w:evenHBand="0" w:firstRowFirstColumn="0" w:firstRowLastColumn="0" w:lastRowFirstColumn="0" w:lastRowLastColumn="0"/>
              <w:rPr>
                <w:szCs w:val="20"/>
              </w:rPr>
            </w:pPr>
            <w:r>
              <w:rPr>
                <w:szCs w:val="20"/>
              </w:rPr>
              <w:t>Number of antennas</w:t>
            </w:r>
          </w:p>
        </w:tc>
      </w:tr>
      <w:tr w:rsidR="00652A6F" w:rsidTr="00652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2" w:type="dxa"/>
          </w:tcPr>
          <w:p w:rsidR="00652A6F" w:rsidRDefault="00652A6F" w:rsidP="00A04CC6">
            <w:pPr>
              <w:pStyle w:val="BodyText"/>
              <w:rPr>
                <w:szCs w:val="20"/>
              </w:rPr>
            </w:pPr>
            <w:r>
              <w:rPr>
                <w:szCs w:val="20"/>
              </w:rPr>
              <w:t>Urban Macro</w:t>
            </w:r>
          </w:p>
        </w:tc>
        <w:tc>
          <w:tcPr>
            <w:tcW w:w="2322" w:type="dxa"/>
          </w:tcPr>
          <w:p w:rsidR="00652A6F" w:rsidRDefault="00652A6F" w:rsidP="00A04CC6">
            <w:pPr>
              <w:pStyle w:val="BodyText"/>
              <w:cnfStyle w:val="000000100000" w:firstRow="0" w:lastRow="0" w:firstColumn="0" w:lastColumn="0" w:oddVBand="0" w:evenVBand="0" w:oddHBand="1" w:evenHBand="0" w:firstRowFirstColumn="0" w:firstRowLastColumn="0" w:lastRowFirstColumn="0" w:lastRowLastColumn="0"/>
              <w:rPr>
                <w:szCs w:val="20"/>
              </w:rPr>
            </w:pPr>
            <w:r>
              <w:rPr>
                <w:szCs w:val="20"/>
              </w:rPr>
              <w:t>25 m</w:t>
            </w:r>
          </w:p>
        </w:tc>
        <w:tc>
          <w:tcPr>
            <w:tcW w:w="2322" w:type="dxa"/>
          </w:tcPr>
          <w:p w:rsidR="00652A6F" w:rsidRDefault="00652A6F" w:rsidP="00652A6F">
            <w:pPr>
              <w:pStyle w:val="BodyText"/>
              <w:cnfStyle w:val="000000100000" w:firstRow="0" w:lastRow="0" w:firstColumn="0" w:lastColumn="0" w:oddVBand="0" w:evenVBand="0" w:oddHBand="1" w:evenHBand="0" w:firstRowFirstColumn="0" w:firstRowLastColumn="0" w:lastRowFirstColumn="0" w:lastRowLastColumn="0"/>
              <w:rPr>
                <w:szCs w:val="20"/>
              </w:rPr>
            </w:pPr>
            <w:r>
              <w:rPr>
                <w:szCs w:val="20"/>
              </w:rPr>
              <w:t>49 dBm (below 6 GHz)</w:t>
            </w:r>
          </w:p>
          <w:p w:rsidR="00652A6F" w:rsidRDefault="00652A6F" w:rsidP="00652A6F">
            <w:pPr>
              <w:pStyle w:val="BodyText"/>
              <w:cnfStyle w:val="000000100000" w:firstRow="0" w:lastRow="0" w:firstColumn="0" w:lastColumn="0" w:oddVBand="0" w:evenVBand="0" w:oddHBand="1" w:evenHBand="0" w:firstRowFirstColumn="0" w:firstRowLastColumn="0" w:lastRowFirstColumn="0" w:lastRowLastColumn="0"/>
              <w:rPr>
                <w:szCs w:val="20"/>
              </w:rPr>
            </w:pPr>
            <w:r>
              <w:rPr>
                <w:szCs w:val="20"/>
              </w:rPr>
              <w:t>43 dBm (above 6 GHz)</w:t>
            </w:r>
          </w:p>
        </w:tc>
        <w:tc>
          <w:tcPr>
            <w:tcW w:w="2322" w:type="dxa"/>
            <w:vMerge w:val="restart"/>
          </w:tcPr>
          <w:p w:rsidR="00652A6F" w:rsidRDefault="00652A6F" w:rsidP="00A04CC6">
            <w:pPr>
              <w:pStyle w:val="BodyText"/>
              <w:cnfStyle w:val="000000100000" w:firstRow="0" w:lastRow="0" w:firstColumn="0" w:lastColumn="0" w:oddVBand="0" w:evenVBand="0" w:oddHBand="1" w:evenHBand="0" w:firstRowFirstColumn="0" w:firstRowLastColumn="0" w:lastRowFirstColumn="0" w:lastRowLastColumn="0"/>
              <w:rPr>
                <w:szCs w:val="20"/>
              </w:rPr>
            </w:pPr>
            <w:r>
              <w:rPr>
                <w:szCs w:val="20"/>
              </w:rPr>
              <w:t>256 (4 GHz)</w:t>
            </w:r>
          </w:p>
          <w:p w:rsidR="00652A6F" w:rsidRDefault="00652A6F" w:rsidP="00A04CC6">
            <w:pPr>
              <w:pStyle w:val="BodyText"/>
              <w:cnfStyle w:val="000000100000" w:firstRow="0" w:lastRow="0" w:firstColumn="0" w:lastColumn="0" w:oddVBand="0" w:evenVBand="0" w:oddHBand="1" w:evenHBand="0" w:firstRowFirstColumn="0" w:firstRowLastColumn="0" w:lastRowFirstColumn="0" w:lastRowLastColumn="0"/>
              <w:rPr>
                <w:szCs w:val="20"/>
              </w:rPr>
            </w:pPr>
            <w:r>
              <w:rPr>
                <w:szCs w:val="20"/>
              </w:rPr>
              <w:t>256 (30 GHz)</w:t>
            </w:r>
          </w:p>
          <w:p w:rsidR="00652A6F" w:rsidRDefault="00652A6F" w:rsidP="00A04CC6">
            <w:pPr>
              <w:pStyle w:val="BodyText"/>
              <w:cnfStyle w:val="000000100000" w:firstRow="0" w:lastRow="0" w:firstColumn="0" w:lastColumn="0" w:oddVBand="0" w:evenVBand="0" w:oddHBand="1" w:evenHBand="0" w:firstRowFirstColumn="0" w:firstRowLastColumn="0" w:lastRowFirstColumn="0" w:lastRowLastColumn="0"/>
              <w:rPr>
                <w:szCs w:val="20"/>
              </w:rPr>
            </w:pPr>
            <w:r>
              <w:rPr>
                <w:szCs w:val="20"/>
              </w:rPr>
              <w:t>1024 (70 GHz)</w:t>
            </w:r>
          </w:p>
        </w:tc>
      </w:tr>
      <w:tr w:rsidR="00652A6F" w:rsidTr="00652A6F">
        <w:tc>
          <w:tcPr>
            <w:cnfStyle w:val="001000000000" w:firstRow="0" w:lastRow="0" w:firstColumn="1" w:lastColumn="0" w:oddVBand="0" w:evenVBand="0" w:oddHBand="0" w:evenHBand="0" w:firstRowFirstColumn="0" w:firstRowLastColumn="0" w:lastRowFirstColumn="0" w:lastRowLastColumn="0"/>
            <w:tcW w:w="2322" w:type="dxa"/>
          </w:tcPr>
          <w:p w:rsidR="00652A6F" w:rsidRDefault="00652A6F" w:rsidP="00A04CC6">
            <w:pPr>
              <w:pStyle w:val="BodyText"/>
              <w:rPr>
                <w:szCs w:val="20"/>
              </w:rPr>
            </w:pPr>
            <w:r>
              <w:rPr>
                <w:szCs w:val="20"/>
              </w:rPr>
              <w:t>Dense Urban</w:t>
            </w:r>
          </w:p>
        </w:tc>
        <w:tc>
          <w:tcPr>
            <w:tcW w:w="2322" w:type="dxa"/>
          </w:tcPr>
          <w:p w:rsidR="00652A6F" w:rsidRDefault="00652A6F" w:rsidP="00A04CC6">
            <w:pPr>
              <w:pStyle w:val="BodyText"/>
              <w:cnfStyle w:val="000000000000" w:firstRow="0" w:lastRow="0" w:firstColumn="0" w:lastColumn="0" w:oddVBand="0" w:evenVBand="0" w:oddHBand="0" w:evenHBand="0" w:firstRowFirstColumn="0" w:firstRowLastColumn="0" w:lastRowFirstColumn="0" w:lastRowLastColumn="0"/>
              <w:rPr>
                <w:szCs w:val="20"/>
              </w:rPr>
            </w:pPr>
            <w:r>
              <w:rPr>
                <w:szCs w:val="20"/>
              </w:rPr>
              <w:t>25 m (macro)</w:t>
            </w:r>
          </w:p>
          <w:p w:rsidR="00652A6F" w:rsidRDefault="00652A6F" w:rsidP="00A04CC6">
            <w:pPr>
              <w:pStyle w:val="BodyText"/>
              <w:cnfStyle w:val="000000000000" w:firstRow="0" w:lastRow="0" w:firstColumn="0" w:lastColumn="0" w:oddVBand="0" w:evenVBand="0" w:oddHBand="0" w:evenHBand="0" w:firstRowFirstColumn="0" w:firstRowLastColumn="0" w:lastRowFirstColumn="0" w:lastRowLastColumn="0"/>
              <w:rPr>
                <w:szCs w:val="20"/>
              </w:rPr>
            </w:pPr>
            <w:r>
              <w:rPr>
                <w:szCs w:val="20"/>
              </w:rPr>
              <w:t>10 m (micro)</w:t>
            </w:r>
          </w:p>
        </w:tc>
        <w:tc>
          <w:tcPr>
            <w:tcW w:w="2322" w:type="dxa"/>
          </w:tcPr>
          <w:p w:rsidR="00652A6F" w:rsidRDefault="00652A6F" w:rsidP="00A04CC6">
            <w:pPr>
              <w:pStyle w:val="BodyText"/>
              <w:cnfStyle w:val="000000000000" w:firstRow="0" w:lastRow="0" w:firstColumn="0" w:lastColumn="0" w:oddVBand="0" w:evenVBand="0" w:oddHBand="0" w:evenHBand="0" w:firstRowFirstColumn="0" w:firstRowLastColumn="0" w:lastRowFirstColumn="0" w:lastRowLastColumn="0"/>
              <w:rPr>
                <w:szCs w:val="20"/>
              </w:rPr>
            </w:pPr>
            <w:r>
              <w:rPr>
                <w:szCs w:val="20"/>
              </w:rPr>
              <w:t>44 dBm (macro)</w:t>
            </w:r>
          </w:p>
          <w:p w:rsidR="00652A6F" w:rsidRDefault="00652A6F" w:rsidP="00A04CC6">
            <w:pPr>
              <w:pStyle w:val="BodyText"/>
              <w:cnfStyle w:val="000000000000" w:firstRow="0" w:lastRow="0" w:firstColumn="0" w:lastColumn="0" w:oddVBand="0" w:evenVBand="0" w:oddHBand="0" w:evenHBand="0" w:firstRowFirstColumn="0" w:firstRowLastColumn="0" w:lastRowFirstColumn="0" w:lastRowLastColumn="0"/>
              <w:rPr>
                <w:szCs w:val="20"/>
              </w:rPr>
            </w:pPr>
            <w:r>
              <w:rPr>
                <w:szCs w:val="20"/>
              </w:rPr>
              <w:t>33 dBm (micro)</w:t>
            </w:r>
          </w:p>
        </w:tc>
        <w:tc>
          <w:tcPr>
            <w:tcW w:w="2322" w:type="dxa"/>
            <w:vMerge/>
          </w:tcPr>
          <w:p w:rsidR="00652A6F" w:rsidRDefault="00652A6F" w:rsidP="00A04CC6">
            <w:pPr>
              <w:pStyle w:val="BodyText"/>
              <w:cnfStyle w:val="000000000000" w:firstRow="0" w:lastRow="0" w:firstColumn="0" w:lastColumn="0" w:oddVBand="0" w:evenVBand="0" w:oddHBand="0" w:evenHBand="0" w:firstRowFirstColumn="0" w:firstRowLastColumn="0" w:lastRowFirstColumn="0" w:lastRowLastColumn="0"/>
              <w:rPr>
                <w:szCs w:val="20"/>
              </w:rPr>
            </w:pPr>
          </w:p>
        </w:tc>
      </w:tr>
      <w:tr w:rsidR="00652A6F" w:rsidTr="00652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2" w:type="dxa"/>
          </w:tcPr>
          <w:p w:rsidR="00652A6F" w:rsidRDefault="00652A6F" w:rsidP="00A04CC6">
            <w:pPr>
              <w:pStyle w:val="BodyText"/>
              <w:rPr>
                <w:szCs w:val="20"/>
              </w:rPr>
            </w:pPr>
            <w:r>
              <w:rPr>
                <w:szCs w:val="20"/>
              </w:rPr>
              <w:t>Indoor office</w:t>
            </w:r>
          </w:p>
        </w:tc>
        <w:tc>
          <w:tcPr>
            <w:tcW w:w="2322" w:type="dxa"/>
          </w:tcPr>
          <w:p w:rsidR="00652A6F" w:rsidRDefault="00652A6F" w:rsidP="00A04CC6">
            <w:pPr>
              <w:pStyle w:val="BodyText"/>
              <w:cnfStyle w:val="000000100000" w:firstRow="0" w:lastRow="0" w:firstColumn="0" w:lastColumn="0" w:oddVBand="0" w:evenVBand="0" w:oddHBand="1" w:evenHBand="0" w:firstRowFirstColumn="0" w:firstRowLastColumn="0" w:lastRowFirstColumn="0" w:lastRowLastColumn="0"/>
              <w:rPr>
                <w:szCs w:val="20"/>
              </w:rPr>
            </w:pPr>
            <w:r>
              <w:rPr>
                <w:szCs w:val="20"/>
              </w:rPr>
              <w:t>3 m</w:t>
            </w:r>
          </w:p>
        </w:tc>
        <w:tc>
          <w:tcPr>
            <w:tcW w:w="2322" w:type="dxa"/>
          </w:tcPr>
          <w:p w:rsidR="00652A6F" w:rsidRDefault="00652A6F" w:rsidP="00A04CC6">
            <w:pPr>
              <w:pStyle w:val="BodyText"/>
              <w:cnfStyle w:val="000000100000" w:firstRow="0" w:lastRow="0" w:firstColumn="0" w:lastColumn="0" w:oddVBand="0" w:evenVBand="0" w:oddHBand="1" w:evenHBand="0" w:firstRowFirstColumn="0" w:firstRowLastColumn="0" w:lastRowFirstColumn="0" w:lastRowLastColumn="0"/>
              <w:rPr>
                <w:szCs w:val="20"/>
              </w:rPr>
            </w:pPr>
            <w:r>
              <w:rPr>
                <w:szCs w:val="20"/>
              </w:rPr>
              <w:t>24 dBm (below 6 GHz)</w:t>
            </w:r>
          </w:p>
          <w:p w:rsidR="00652A6F" w:rsidRDefault="00652A6F" w:rsidP="00A04CC6">
            <w:pPr>
              <w:pStyle w:val="BodyText"/>
              <w:cnfStyle w:val="000000100000" w:firstRow="0" w:lastRow="0" w:firstColumn="0" w:lastColumn="0" w:oddVBand="0" w:evenVBand="0" w:oddHBand="1" w:evenHBand="0" w:firstRowFirstColumn="0" w:firstRowLastColumn="0" w:lastRowFirstColumn="0" w:lastRowLastColumn="0"/>
              <w:rPr>
                <w:szCs w:val="20"/>
              </w:rPr>
            </w:pPr>
            <w:r>
              <w:rPr>
                <w:szCs w:val="20"/>
              </w:rPr>
              <w:t>23 dBm (above 6 GHz)</w:t>
            </w:r>
          </w:p>
        </w:tc>
        <w:tc>
          <w:tcPr>
            <w:tcW w:w="2322" w:type="dxa"/>
            <w:vMerge/>
          </w:tcPr>
          <w:p w:rsidR="00652A6F" w:rsidRDefault="00652A6F" w:rsidP="00A04CC6">
            <w:pPr>
              <w:pStyle w:val="BodyText"/>
              <w:cnfStyle w:val="000000100000" w:firstRow="0" w:lastRow="0" w:firstColumn="0" w:lastColumn="0" w:oddVBand="0" w:evenVBand="0" w:oddHBand="1" w:evenHBand="0" w:firstRowFirstColumn="0" w:firstRowLastColumn="0" w:lastRowFirstColumn="0" w:lastRowLastColumn="0"/>
              <w:rPr>
                <w:szCs w:val="20"/>
              </w:rPr>
            </w:pPr>
          </w:p>
        </w:tc>
      </w:tr>
    </w:tbl>
    <w:p w:rsidR="00A04CC6" w:rsidRDefault="00A04CC6" w:rsidP="00A04CC6">
      <w:pPr>
        <w:pStyle w:val="BodyText"/>
        <w:rPr>
          <w:szCs w:val="20"/>
        </w:rPr>
      </w:pPr>
    </w:p>
    <w:p w:rsidR="00A04CC6" w:rsidRDefault="00A04CC6" w:rsidP="00A04CC6">
      <w:pPr>
        <w:pStyle w:val="BodyText"/>
        <w:rPr>
          <w:szCs w:val="20"/>
        </w:rPr>
      </w:pPr>
    </w:p>
    <w:p w:rsidR="00A04CC6" w:rsidRPr="00A04CC6" w:rsidRDefault="00A04CC6" w:rsidP="00A04CC6">
      <w:pPr>
        <w:pStyle w:val="BodyText"/>
      </w:pPr>
    </w:p>
    <w:p w:rsidR="00DD3792" w:rsidRDefault="00DD3792" w:rsidP="00DD3792">
      <w:pPr>
        <w:pStyle w:val="Heading1"/>
        <w:spacing w:before="180"/>
        <w:ind w:left="562" w:hanging="562"/>
      </w:pPr>
      <w:r>
        <w:lastRenderedPageBreak/>
        <w:t>References</w:t>
      </w:r>
    </w:p>
    <w:p w:rsidR="00DD3792" w:rsidRDefault="00DD3792" w:rsidP="00DD3792">
      <w:pPr>
        <w:pStyle w:val="BodyText"/>
      </w:pPr>
      <w:r>
        <w:t>[1</w:t>
      </w:r>
      <w:proofErr w:type="gramStart"/>
      <w:r>
        <w:t xml:space="preserve">]  </w:t>
      </w:r>
      <w:r w:rsidRPr="00590988">
        <w:t>ICNIRP</w:t>
      </w:r>
      <w:proofErr w:type="gramEnd"/>
      <w:r w:rsidRPr="00590988">
        <w:t>, “Guidelines for limiting exposure to time-varying electric, magnetic, and electromagnetic fields (up to 300 GHz),” Health Physics, vol. 74, pp. 494–522, 1998.</w:t>
      </w:r>
    </w:p>
    <w:p w:rsidR="00DD3792" w:rsidRDefault="00DD3792" w:rsidP="00DD3792">
      <w:pPr>
        <w:pStyle w:val="BodyText"/>
      </w:pPr>
      <w:r>
        <w:t xml:space="preserve">[2] </w:t>
      </w:r>
      <w:r w:rsidRPr="00590988">
        <w:t>FCC, Code of Federal Regulations CFR title 47, part 1.1310, “Radiofrequency radiation exposure limits,” Federal Communications Commission (FCC), August 1997.</w:t>
      </w:r>
    </w:p>
    <w:p w:rsidR="00DD3792" w:rsidRDefault="00DD3792" w:rsidP="00DD3792">
      <w:pPr>
        <w:pStyle w:val="BodyText"/>
      </w:pPr>
      <w:r>
        <w:t xml:space="preserve">[3] </w:t>
      </w:r>
      <w:r w:rsidRPr="00590988">
        <w:t>OET Bulletin 65, “Evaluating compliance with FCC guidelines for human exposure to radiofrequency electromagnetic fields,” FCC, August 1997.</w:t>
      </w:r>
    </w:p>
    <w:p w:rsidR="00DD3792" w:rsidRDefault="00DD3792" w:rsidP="00DD3792">
      <w:pPr>
        <w:pStyle w:val="BodyText"/>
      </w:pPr>
      <w:r>
        <w:t xml:space="preserve">[4] </w:t>
      </w:r>
      <w:r w:rsidRPr="00590988">
        <w:t xml:space="preserve">FCC. (2015, Oct) </w:t>
      </w:r>
      <w:proofErr w:type="gramStart"/>
      <w:r w:rsidRPr="00590988">
        <w:t>Notice of proposed rulemaking.</w:t>
      </w:r>
      <w:proofErr w:type="gramEnd"/>
      <w:r w:rsidRPr="00590988">
        <w:t xml:space="preserve"> </w:t>
      </w:r>
      <w:proofErr w:type="gramStart"/>
      <w:r w:rsidRPr="00590988">
        <w:t>[Online].</w:t>
      </w:r>
      <w:proofErr w:type="gramEnd"/>
      <w:r w:rsidRPr="00590988">
        <w:t xml:space="preserve"> Available: </w:t>
      </w:r>
      <w:hyperlink r:id="rId10" w:history="1">
        <w:r w:rsidRPr="009E02C0">
          <w:rPr>
            <w:rStyle w:val="Hyperlink"/>
          </w:rPr>
          <w:t>https://apps.fcc.gov/edocs_public/attachmatch/FCC-15-138A1.pdf</w:t>
        </w:r>
      </w:hyperlink>
    </w:p>
    <w:p w:rsidR="00DD3792" w:rsidRDefault="00DD3792" w:rsidP="00DD3792">
      <w:pPr>
        <w:pStyle w:val="BodyText"/>
      </w:pPr>
      <w:r>
        <w:t>[5]</w:t>
      </w:r>
      <w:r w:rsidRPr="00590988">
        <w:t xml:space="preserve"> C95.1-2005 Safety Levels with Respect to Human Exposure to Radio Frequency Electromagnetic Fields, 3 KHz to 300 GHz, IEEE International Committee on Electromagnetic Safety Std., 2005.</w:t>
      </w:r>
    </w:p>
    <w:p w:rsidR="00DD3792" w:rsidRPr="00590988" w:rsidRDefault="00DD3792" w:rsidP="00DD3792">
      <w:pPr>
        <w:pStyle w:val="BodyText"/>
      </w:pPr>
      <w:r>
        <w:t xml:space="preserve">[6] </w:t>
      </w:r>
      <w:r w:rsidRPr="00590988">
        <w:t>IEEE, C95.1a-2010. Standard for safety levels with respect to human exposure to radio frequency electromagnetic fields, 3 kHz to 300 GHz. Amendment 1: specifies ceiling limits for induced and contact current, clarifies distinctions between localized exposure and spatial peak power density., IEEE Std., 2010.</w:t>
      </w:r>
    </w:p>
    <w:p w:rsidR="00BA76BC" w:rsidRPr="00BA76BC" w:rsidRDefault="00BA76BC" w:rsidP="00BA76BC">
      <w:pPr>
        <w:pStyle w:val="BodyText"/>
      </w:pPr>
    </w:p>
    <w:sectPr w:rsidR="00BA76BC" w:rsidRPr="00BA76B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F49" w:rsidRDefault="00120F49">
      <w:r>
        <w:separator/>
      </w:r>
    </w:p>
  </w:endnote>
  <w:endnote w:type="continuationSeparator" w:id="0">
    <w:p w:rsidR="00120F49" w:rsidRDefault="0012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F49" w:rsidRDefault="00120F49">
      <w:r>
        <w:separator/>
      </w:r>
    </w:p>
  </w:footnote>
  <w:footnote w:type="continuationSeparator" w:id="0">
    <w:p w:rsidR="00120F49" w:rsidRDefault="00120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120F49"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3505FB8"/>
    <w:multiLevelType w:val="hybridMultilevel"/>
    <w:tmpl w:val="C8F03238"/>
    <w:lvl w:ilvl="0" w:tplc="E7703574">
      <w:start w:val="1"/>
      <w:numFmt w:val="bullet"/>
      <w:lvlText w:val="›"/>
      <w:lvlJc w:val="left"/>
      <w:pPr>
        <w:tabs>
          <w:tab w:val="num" w:pos="720"/>
        </w:tabs>
        <w:ind w:left="720" w:hanging="360"/>
      </w:pPr>
      <w:rPr>
        <w:rFonts w:ascii="Arial" w:hAnsi="Arial" w:hint="default"/>
      </w:rPr>
    </w:lvl>
    <w:lvl w:ilvl="1" w:tplc="33967FC4">
      <w:start w:val="1126"/>
      <w:numFmt w:val="bullet"/>
      <w:lvlText w:val="–"/>
      <w:lvlJc w:val="left"/>
      <w:pPr>
        <w:tabs>
          <w:tab w:val="num" w:pos="1440"/>
        </w:tabs>
        <w:ind w:left="1440" w:hanging="360"/>
      </w:pPr>
      <w:rPr>
        <w:rFonts w:ascii="Ericsson Capital TT" w:hAnsi="Ericsson Capital TT" w:hint="default"/>
      </w:rPr>
    </w:lvl>
    <w:lvl w:ilvl="2" w:tplc="1E4A7BC6" w:tentative="1">
      <w:start w:val="1"/>
      <w:numFmt w:val="bullet"/>
      <w:lvlText w:val="›"/>
      <w:lvlJc w:val="left"/>
      <w:pPr>
        <w:tabs>
          <w:tab w:val="num" w:pos="2160"/>
        </w:tabs>
        <w:ind w:left="2160" w:hanging="360"/>
      </w:pPr>
      <w:rPr>
        <w:rFonts w:ascii="Arial" w:hAnsi="Arial" w:hint="default"/>
      </w:rPr>
    </w:lvl>
    <w:lvl w:ilvl="3" w:tplc="F740EF24" w:tentative="1">
      <w:start w:val="1"/>
      <w:numFmt w:val="bullet"/>
      <w:lvlText w:val="›"/>
      <w:lvlJc w:val="left"/>
      <w:pPr>
        <w:tabs>
          <w:tab w:val="num" w:pos="2880"/>
        </w:tabs>
        <w:ind w:left="2880" w:hanging="360"/>
      </w:pPr>
      <w:rPr>
        <w:rFonts w:ascii="Arial" w:hAnsi="Arial" w:hint="default"/>
      </w:rPr>
    </w:lvl>
    <w:lvl w:ilvl="4" w:tplc="EB0CE85C" w:tentative="1">
      <w:start w:val="1"/>
      <w:numFmt w:val="bullet"/>
      <w:lvlText w:val="›"/>
      <w:lvlJc w:val="left"/>
      <w:pPr>
        <w:tabs>
          <w:tab w:val="num" w:pos="3600"/>
        </w:tabs>
        <w:ind w:left="3600" w:hanging="360"/>
      </w:pPr>
      <w:rPr>
        <w:rFonts w:ascii="Arial" w:hAnsi="Arial" w:hint="default"/>
      </w:rPr>
    </w:lvl>
    <w:lvl w:ilvl="5" w:tplc="93E2ABDA" w:tentative="1">
      <w:start w:val="1"/>
      <w:numFmt w:val="bullet"/>
      <w:lvlText w:val="›"/>
      <w:lvlJc w:val="left"/>
      <w:pPr>
        <w:tabs>
          <w:tab w:val="num" w:pos="4320"/>
        </w:tabs>
        <w:ind w:left="4320" w:hanging="360"/>
      </w:pPr>
      <w:rPr>
        <w:rFonts w:ascii="Arial" w:hAnsi="Arial" w:hint="default"/>
      </w:rPr>
    </w:lvl>
    <w:lvl w:ilvl="6" w:tplc="7E26D4F0" w:tentative="1">
      <w:start w:val="1"/>
      <w:numFmt w:val="bullet"/>
      <w:lvlText w:val="›"/>
      <w:lvlJc w:val="left"/>
      <w:pPr>
        <w:tabs>
          <w:tab w:val="num" w:pos="5040"/>
        </w:tabs>
        <w:ind w:left="5040" w:hanging="360"/>
      </w:pPr>
      <w:rPr>
        <w:rFonts w:ascii="Arial" w:hAnsi="Arial" w:hint="default"/>
      </w:rPr>
    </w:lvl>
    <w:lvl w:ilvl="7" w:tplc="BB765500" w:tentative="1">
      <w:start w:val="1"/>
      <w:numFmt w:val="bullet"/>
      <w:lvlText w:val="›"/>
      <w:lvlJc w:val="left"/>
      <w:pPr>
        <w:tabs>
          <w:tab w:val="num" w:pos="5760"/>
        </w:tabs>
        <w:ind w:left="5760" w:hanging="360"/>
      </w:pPr>
      <w:rPr>
        <w:rFonts w:ascii="Arial" w:hAnsi="Arial" w:hint="default"/>
      </w:rPr>
    </w:lvl>
    <w:lvl w:ilvl="8" w:tplc="4796C70A" w:tentative="1">
      <w:start w:val="1"/>
      <w:numFmt w:val="bullet"/>
      <w:lvlText w:val="›"/>
      <w:lvlJc w:val="left"/>
      <w:pPr>
        <w:tabs>
          <w:tab w:val="num" w:pos="6480"/>
        </w:tabs>
        <w:ind w:left="6480" w:hanging="360"/>
      </w:pPr>
      <w:rPr>
        <w:rFonts w:ascii="Arial" w:hAnsi="Arial" w:hint="default"/>
      </w:rPr>
    </w:lvl>
  </w:abstractNum>
  <w:abstractNum w:abstractNumId="3">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333D7384"/>
    <w:multiLevelType w:val="hybridMultilevel"/>
    <w:tmpl w:val="9D4CEC60"/>
    <w:lvl w:ilvl="0" w:tplc="D3167EB6">
      <w:start w:val="1"/>
      <w:numFmt w:val="bullet"/>
      <w:lvlText w:val="–"/>
      <w:lvlJc w:val="left"/>
      <w:pPr>
        <w:tabs>
          <w:tab w:val="num" w:pos="720"/>
        </w:tabs>
        <w:ind w:left="720" w:hanging="360"/>
      </w:pPr>
      <w:rPr>
        <w:rFonts w:ascii="Ericsson Capital TT" w:hAnsi="Ericsson Capital TT" w:hint="default"/>
      </w:rPr>
    </w:lvl>
    <w:lvl w:ilvl="1" w:tplc="926A78FE">
      <w:start w:val="1"/>
      <w:numFmt w:val="bullet"/>
      <w:lvlText w:val="–"/>
      <w:lvlJc w:val="left"/>
      <w:pPr>
        <w:tabs>
          <w:tab w:val="num" w:pos="1440"/>
        </w:tabs>
        <w:ind w:left="1440" w:hanging="360"/>
      </w:pPr>
      <w:rPr>
        <w:rFonts w:ascii="Ericsson Capital TT" w:hAnsi="Ericsson Capital TT" w:hint="default"/>
      </w:rPr>
    </w:lvl>
    <w:lvl w:ilvl="2" w:tplc="4DD0A95A">
      <w:start w:val="1500"/>
      <w:numFmt w:val="bullet"/>
      <w:lvlText w:val="›"/>
      <w:lvlJc w:val="left"/>
      <w:pPr>
        <w:tabs>
          <w:tab w:val="num" w:pos="2160"/>
        </w:tabs>
        <w:ind w:left="2160" w:hanging="360"/>
      </w:pPr>
      <w:rPr>
        <w:rFonts w:ascii="Ericsson Capital TT" w:hAnsi="Ericsson Capital TT" w:hint="default"/>
      </w:rPr>
    </w:lvl>
    <w:lvl w:ilvl="3" w:tplc="6DC2046E">
      <w:start w:val="1"/>
      <w:numFmt w:val="bullet"/>
      <w:lvlText w:val="–"/>
      <w:lvlJc w:val="left"/>
      <w:pPr>
        <w:tabs>
          <w:tab w:val="num" w:pos="2880"/>
        </w:tabs>
        <w:ind w:left="2880" w:hanging="360"/>
      </w:pPr>
      <w:rPr>
        <w:rFonts w:ascii="Ericsson Capital TT" w:hAnsi="Ericsson Capital TT" w:hint="default"/>
      </w:rPr>
    </w:lvl>
    <w:lvl w:ilvl="4" w:tplc="3F2C07FE" w:tentative="1">
      <w:start w:val="1"/>
      <w:numFmt w:val="bullet"/>
      <w:lvlText w:val="–"/>
      <w:lvlJc w:val="left"/>
      <w:pPr>
        <w:tabs>
          <w:tab w:val="num" w:pos="3600"/>
        </w:tabs>
        <w:ind w:left="3600" w:hanging="360"/>
      </w:pPr>
      <w:rPr>
        <w:rFonts w:ascii="Ericsson Capital TT" w:hAnsi="Ericsson Capital TT" w:hint="default"/>
      </w:rPr>
    </w:lvl>
    <w:lvl w:ilvl="5" w:tplc="05D86972" w:tentative="1">
      <w:start w:val="1"/>
      <w:numFmt w:val="bullet"/>
      <w:lvlText w:val="–"/>
      <w:lvlJc w:val="left"/>
      <w:pPr>
        <w:tabs>
          <w:tab w:val="num" w:pos="4320"/>
        </w:tabs>
        <w:ind w:left="4320" w:hanging="360"/>
      </w:pPr>
      <w:rPr>
        <w:rFonts w:ascii="Ericsson Capital TT" w:hAnsi="Ericsson Capital TT" w:hint="default"/>
      </w:rPr>
    </w:lvl>
    <w:lvl w:ilvl="6" w:tplc="963035D6" w:tentative="1">
      <w:start w:val="1"/>
      <w:numFmt w:val="bullet"/>
      <w:lvlText w:val="–"/>
      <w:lvlJc w:val="left"/>
      <w:pPr>
        <w:tabs>
          <w:tab w:val="num" w:pos="5040"/>
        </w:tabs>
        <w:ind w:left="5040" w:hanging="360"/>
      </w:pPr>
      <w:rPr>
        <w:rFonts w:ascii="Ericsson Capital TT" w:hAnsi="Ericsson Capital TT" w:hint="default"/>
      </w:rPr>
    </w:lvl>
    <w:lvl w:ilvl="7" w:tplc="BA783434" w:tentative="1">
      <w:start w:val="1"/>
      <w:numFmt w:val="bullet"/>
      <w:lvlText w:val="–"/>
      <w:lvlJc w:val="left"/>
      <w:pPr>
        <w:tabs>
          <w:tab w:val="num" w:pos="5760"/>
        </w:tabs>
        <w:ind w:left="5760" w:hanging="360"/>
      </w:pPr>
      <w:rPr>
        <w:rFonts w:ascii="Ericsson Capital TT" w:hAnsi="Ericsson Capital TT" w:hint="default"/>
      </w:rPr>
    </w:lvl>
    <w:lvl w:ilvl="8" w:tplc="2CB2009E" w:tentative="1">
      <w:start w:val="1"/>
      <w:numFmt w:val="bullet"/>
      <w:lvlText w:val="–"/>
      <w:lvlJc w:val="left"/>
      <w:pPr>
        <w:tabs>
          <w:tab w:val="num" w:pos="6480"/>
        </w:tabs>
        <w:ind w:left="6480" w:hanging="360"/>
      </w:pPr>
      <w:rPr>
        <w:rFonts w:ascii="Ericsson Capital TT" w:hAnsi="Ericsson Capital TT" w:hint="default"/>
      </w:rPr>
    </w:lvl>
  </w:abstractNum>
  <w:abstractNum w:abstractNumId="6">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48C7E4A"/>
    <w:multiLevelType w:val="hybridMultilevel"/>
    <w:tmpl w:val="7E2A70D4"/>
    <w:lvl w:ilvl="0" w:tplc="F9D856F4">
      <w:start w:val="1"/>
      <w:numFmt w:val="bullet"/>
      <w:lvlText w:val="›"/>
      <w:lvlJc w:val="left"/>
      <w:pPr>
        <w:tabs>
          <w:tab w:val="num" w:pos="720"/>
        </w:tabs>
        <w:ind w:left="720" w:hanging="360"/>
      </w:pPr>
      <w:rPr>
        <w:rFonts w:ascii="Arial" w:hAnsi="Arial" w:hint="default"/>
      </w:rPr>
    </w:lvl>
    <w:lvl w:ilvl="1" w:tplc="22D6C48E">
      <w:start w:val="1123"/>
      <w:numFmt w:val="bullet"/>
      <w:lvlText w:val="–"/>
      <w:lvlJc w:val="left"/>
      <w:pPr>
        <w:tabs>
          <w:tab w:val="num" w:pos="1440"/>
        </w:tabs>
        <w:ind w:left="1440" w:hanging="360"/>
      </w:pPr>
      <w:rPr>
        <w:rFonts w:ascii="Ericsson Capital TT" w:hAnsi="Ericsson Capital TT" w:hint="default"/>
      </w:rPr>
    </w:lvl>
    <w:lvl w:ilvl="2" w:tplc="15442688" w:tentative="1">
      <w:start w:val="1"/>
      <w:numFmt w:val="bullet"/>
      <w:lvlText w:val="›"/>
      <w:lvlJc w:val="left"/>
      <w:pPr>
        <w:tabs>
          <w:tab w:val="num" w:pos="2160"/>
        </w:tabs>
        <w:ind w:left="2160" w:hanging="360"/>
      </w:pPr>
      <w:rPr>
        <w:rFonts w:ascii="Arial" w:hAnsi="Arial" w:hint="default"/>
      </w:rPr>
    </w:lvl>
    <w:lvl w:ilvl="3" w:tplc="BC98CAE6" w:tentative="1">
      <w:start w:val="1"/>
      <w:numFmt w:val="bullet"/>
      <w:lvlText w:val="›"/>
      <w:lvlJc w:val="left"/>
      <w:pPr>
        <w:tabs>
          <w:tab w:val="num" w:pos="2880"/>
        </w:tabs>
        <w:ind w:left="2880" w:hanging="360"/>
      </w:pPr>
      <w:rPr>
        <w:rFonts w:ascii="Arial" w:hAnsi="Arial" w:hint="default"/>
      </w:rPr>
    </w:lvl>
    <w:lvl w:ilvl="4" w:tplc="84E24128" w:tentative="1">
      <w:start w:val="1"/>
      <w:numFmt w:val="bullet"/>
      <w:lvlText w:val="›"/>
      <w:lvlJc w:val="left"/>
      <w:pPr>
        <w:tabs>
          <w:tab w:val="num" w:pos="3600"/>
        </w:tabs>
        <w:ind w:left="3600" w:hanging="360"/>
      </w:pPr>
      <w:rPr>
        <w:rFonts w:ascii="Arial" w:hAnsi="Arial" w:hint="default"/>
      </w:rPr>
    </w:lvl>
    <w:lvl w:ilvl="5" w:tplc="200819C2" w:tentative="1">
      <w:start w:val="1"/>
      <w:numFmt w:val="bullet"/>
      <w:lvlText w:val="›"/>
      <w:lvlJc w:val="left"/>
      <w:pPr>
        <w:tabs>
          <w:tab w:val="num" w:pos="4320"/>
        </w:tabs>
        <w:ind w:left="4320" w:hanging="360"/>
      </w:pPr>
      <w:rPr>
        <w:rFonts w:ascii="Arial" w:hAnsi="Arial" w:hint="default"/>
      </w:rPr>
    </w:lvl>
    <w:lvl w:ilvl="6" w:tplc="A08CACD0" w:tentative="1">
      <w:start w:val="1"/>
      <w:numFmt w:val="bullet"/>
      <w:lvlText w:val="›"/>
      <w:lvlJc w:val="left"/>
      <w:pPr>
        <w:tabs>
          <w:tab w:val="num" w:pos="5040"/>
        </w:tabs>
        <w:ind w:left="5040" w:hanging="360"/>
      </w:pPr>
      <w:rPr>
        <w:rFonts w:ascii="Arial" w:hAnsi="Arial" w:hint="default"/>
      </w:rPr>
    </w:lvl>
    <w:lvl w:ilvl="7" w:tplc="2F58A8E6" w:tentative="1">
      <w:start w:val="1"/>
      <w:numFmt w:val="bullet"/>
      <w:lvlText w:val="›"/>
      <w:lvlJc w:val="left"/>
      <w:pPr>
        <w:tabs>
          <w:tab w:val="num" w:pos="5760"/>
        </w:tabs>
        <w:ind w:left="5760" w:hanging="360"/>
      </w:pPr>
      <w:rPr>
        <w:rFonts w:ascii="Arial" w:hAnsi="Arial" w:hint="default"/>
      </w:rPr>
    </w:lvl>
    <w:lvl w:ilvl="8" w:tplc="EFA2E0F6" w:tentative="1">
      <w:start w:val="1"/>
      <w:numFmt w:val="bullet"/>
      <w:lvlText w:val="›"/>
      <w:lvlJc w:val="left"/>
      <w:pPr>
        <w:tabs>
          <w:tab w:val="num" w:pos="6480"/>
        </w:tabs>
        <w:ind w:left="6480" w:hanging="360"/>
      </w:pPr>
      <w:rPr>
        <w:rFonts w:ascii="Arial" w:hAnsi="Arial" w:hint="default"/>
      </w:rPr>
    </w:lvl>
  </w:abstractNum>
  <w:abstractNum w:abstractNumId="8">
    <w:nsid w:val="5E970E0B"/>
    <w:multiLevelType w:val="hybridMultilevel"/>
    <w:tmpl w:val="E026A52A"/>
    <w:lvl w:ilvl="0" w:tplc="E0AA7D3A">
      <w:start w:val="1"/>
      <w:numFmt w:val="bullet"/>
      <w:lvlText w:val="›"/>
      <w:lvlJc w:val="left"/>
      <w:pPr>
        <w:tabs>
          <w:tab w:val="num" w:pos="1642"/>
        </w:tabs>
        <w:ind w:left="1642" w:hanging="360"/>
      </w:pPr>
      <w:rPr>
        <w:rFonts w:ascii="Arial" w:hAnsi="Arial" w:hint="default"/>
      </w:rPr>
    </w:lvl>
    <w:lvl w:ilvl="1" w:tplc="8F70204C">
      <w:start w:val="1126"/>
      <w:numFmt w:val="bullet"/>
      <w:lvlText w:val="–"/>
      <w:lvlJc w:val="left"/>
      <w:pPr>
        <w:tabs>
          <w:tab w:val="num" w:pos="2362"/>
        </w:tabs>
        <w:ind w:left="2362" w:hanging="360"/>
      </w:pPr>
      <w:rPr>
        <w:rFonts w:ascii="Ericsson Capital TT" w:hAnsi="Ericsson Capital TT" w:hint="default"/>
      </w:rPr>
    </w:lvl>
    <w:lvl w:ilvl="2" w:tplc="498E3EA0" w:tentative="1">
      <w:start w:val="1"/>
      <w:numFmt w:val="bullet"/>
      <w:lvlText w:val="›"/>
      <w:lvlJc w:val="left"/>
      <w:pPr>
        <w:tabs>
          <w:tab w:val="num" w:pos="3082"/>
        </w:tabs>
        <w:ind w:left="3082" w:hanging="360"/>
      </w:pPr>
      <w:rPr>
        <w:rFonts w:ascii="Arial" w:hAnsi="Arial" w:hint="default"/>
      </w:rPr>
    </w:lvl>
    <w:lvl w:ilvl="3" w:tplc="D870CDA2" w:tentative="1">
      <w:start w:val="1"/>
      <w:numFmt w:val="bullet"/>
      <w:lvlText w:val="›"/>
      <w:lvlJc w:val="left"/>
      <w:pPr>
        <w:tabs>
          <w:tab w:val="num" w:pos="3802"/>
        </w:tabs>
        <w:ind w:left="3802" w:hanging="360"/>
      </w:pPr>
      <w:rPr>
        <w:rFonts w:ascii="Arial" w:hAnsi="Arial" w:hint="default"/>
      </w:rPr>
    </w:lvl>
    <w:lvl w:ilvl="4" w:tplc="7E2CF4B6" w:tentative="1">
      <w:start w:val="1"/>
      <w:numFmt w:val="bullet"/>
      <w:lvlText w:val="›"/>
      <w:lvlJc w:val="left"/>
      <w:pPr>
        <w:tabs>
          <w:tab w:val="num" w:pos="4522"/>
        </w:tabs>
        <w:ind w:left="4522" w:hanging="360"/>
      </w:pPr>
      <w:rPr>
        <w:rFonts w:ascii="Arial" w:hAnsi="Arial" w:hint="default"/>
      </w:rPr>
    </w:lvl>
    <w:lvl w:ilvl="5" w:tplc="6BC6E1DE" w:tentative="1">
      <w:start w:val="1"/>
      <w:numFmt w:val="bullet"/>
      <w:lvlText w:val="›"/>
      <w:lvlJc w:val="left"/>
      <w:pPr>
        <w:tabs>
          <w:tab w:val="num" w:pos="5242"/>
        </w:tabs>
        <w:ind w:left="5242" w:hanging="360"/>
      </w:pPr>
      <w:rPr>
        <w:rFonts w:ascii="Arial" w:hAnsi="Arial" w:hint="default"/>
      </w:rPr>
    </w:lvl>
    <w:lvl w:ilvl="6" w:tplc="ACA488CE" w:tentative="1">
      <w:start w:val="1"/>
      <w:numFmt w:val="bullet"/>
      <w:lvlText w:val="›"/>
      <w:lvlJc w:val="left"/>
      <w:pPr>
        <w:tabs>
          <w:tab w:val="num" w:pos="5962"/>
        </w:tabs>
        <w:ind w:left="5962" w:hanging="360"/>
      </w:pPr>
      <w:rPr>
        <w:rFonts w:ascii="Arial" w:hAnsi="Arial" w:hint="default"/>
      </w:rPr>
    </w:lvl>
    <w:lvl w:ilvl="7" w:tplc="ADB8DC86" w:tentative="1">
      <w:start w:val="1"/>
      <w:numFmt w:val="bullet"/>
      <w:lvlText w:val="›"/>
      <w:lvlJc w:val="left"/>
      <w:pPr>
        <w:tabs>
          <w:tab w:val="num" w:pos="6682"/>
        </w:tabs>
        <w:ind w:left="6682" w:hanging="360"/>
      </w:pPr>
      <w:rPr>
        <w:rFonts w:ascii="Arial" w:hAnsi="Arial" w:hint="default"/>
      </w:rPr>
    </w:lvl>
    <w:lvl w:ilvl="8" w:tplc="C14408E0" w:tentative="1">
      <w:start w:val="1"/>
      <w:numFmt w:val="bullet"/>
      <w:lvlText w:val="›"/>
      <w:lvlJc w:val="left"/>
      <w:pPr>
        <w:tabs>
          <w:tab w:val="num" w:pos="7402"/>
        </w:tabs>
        <w:ind w:left="7402" w:hanging="360"/>
      </w:pPr>
      <w:rPr>
        <w:rFonts w:ascii="Arial" w:hAnsi="Arial" w:hint="default"/>
      </w:rPr>
    </w:lvl>
  </w:abstractNum>
  <w:abstractNum w:abstractNumId="9">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4"/>
  </w:num>
  <w:num w:numId="3">
    <w:abstractNumId w:val="1"/>
  </w:num>
  <w:num w:numId="4">
    <w:abstractNumId w:val="6"/>
  </w:num>
  <w:num w:numId="5">
    <w:abstractNumId w:val="3"/>
  </w:num>
  <w:num w:numId="6">
    <w:abstractNumId w:val="0"/>
  </w:num>
  <w:num w:numId="7">
    <w:abstractNumId w:val="9"/>
  </w:num>
  <w:num w:numId="8">
    <w:abstractNumId w:val="10"/>
  </w:num>
  <w:num w:numId="9">
    <w:abstractNumId w:val="5"/>
  </w:num>
  <w:num w:numId="10">
    <w:abstractNumId w:val="8"/>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130E"/>
    <w:rsid w:val="000217F8"/>
    <w:rsid w:val="00037C51"/>
    <w:rsid w:val="000A258F"/>
    <w:rsid w:val="000D6F0F"/>
    <w:rsid w:val="000F4AF3"/>
    <w:rsid w:val="00112E18"/>
    <w:rsid w:val="00114B6A"/>
    <w:rsid w:val="00120F49"/>
    <w:rsid w:val="00141448"/>
    <w:rsid w:val="00175D32"/>
    <w:rsid w:val="0017779E"/>
    <w:rsid w:val="0021013F"/>
    <w:rsid w:val="00290099"/>
    <w:rsid w:val="003875A3"/>
    <w:rsid w:val="003E7267"/>
    <w:rsid w:val="003F70DD"/>
    <w:rsid w:val="00422F7B"/>
    <w:rsid w:val="004B57FD"/>
    <w:rsid w:val="005200ED"/>
    <w:rsid w:val="00535463"/>
    <w:rsid w:val="0055264E"/>
    <w:rsid w:val="00590988"/>
    <w:rsid w:val="005C439D"/>
    <w:rsid w:val="0061336B"/>
    <w:rsid w:val="006322D3"/>
    <w:rsid w:val="00652A6F"/>
    <w:rsid w:val="006962F7"/>
    <w:rsid w:val="006A286A"/>
    <w:rsid w:val="00722A0B"/>
    <w:rsid w:val="0075384C"/>
    <w:rsid w:val="007A01C0"/>
    <w:rsid w:val="007A7B94"/>
    <w:rsid w:val="007D2B9E"/>
    <w:rsid w:val="008177F0"/>
    <w:rsid w:val="00834DE7"/>
    <w:rsid w:val="00835FF4"/>
    <w:rsid w:val="0086253C"/>
    <w:rsid w:val="008B23D4"/>
    <w:rsid w:val="008E07FE"/>
    <w:rsid w:val="009368D6"/>
    <w:rsid w:val="00984292"/>
    <w:rsid w:val="009A6BB8"/>
    <w:rsid w:val="009B2E48"/>
    <w:rsid w:val="00A04CC6"/>
    <w:rsid w:val="00A47015"/>
    <w:rsid w:val="00A617DA"/>
    <w:rsid w:val="00A81AA1"/>
    <w:rsid w:val="00A85E54"/>
    <w:rsid w:val="00AA13EF"/>
    <w:rsid w:val="00B368D9"/>
    <w:rsid w:val="00B452DE"/>
    <w:rsid w:val="00BA2CDD"/>
    <w:rsid w:val="00BA76BC"/>
    <w:rsid w:val="00C1560A"/>
    <w:rsid w:val="00C326A6"/>
    <w:rsid w:val="00C61496"/>
    <w:rsid w:val="00C63A01"/>
    <w:rsid w:val="00C66CB1"/>
    <w:rsid w:val="00C75368"/>
    <w:rsid w:val="00C93774"/>
    <w:rsid w:val="00CA2F3B"/>
    <w:rsid w:val="00CB786C"/>
    <w:rsid w:val="00CE28B2"/>
    <w:rsid w:val="00CF2225"/>
    <w:rsid w:val="00CF67BE"/>
    <w:rsid w:val="00D02349"/>
    <w:rsid w:val="00D03119"/>
    <w:rsid w:val="00D04257"/>
    <w:rsid w:val="00D2701C"/>
    <w:rsid w:val="00D97D19"/>
    <w:rsid w:val="00DA110D"/>
    <w:rsid w:val="00DD3792"/>
    <w:rsid w:val="00DE3421"/>
    <w:rsid w:val="00E51DBA"/>
    <w:rsid w:val="00E63D88"/>
    <w:rsid w:val="00F120DC"/>
    <w:rsid w:val="00F37D49"/>
    <w:rsid w:val="00F72CE2"/>
    <w:rsid w:val="00FA3EF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table" w:styleId="TableGrid">
    <w:name w:val="Table Grid"/>
    <w:basedOn w:val="TableNormal"/>
    <w:uiPriority w:val="59"/>
    <w:rsid w:val="00F12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59098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Hyperlink">
    <w:name w:val="Hyperlink"/>
    <w:basedOn w:val="DefaultParagraphFont"/>
    <w:uiPriority w:val="99"/>
    <w:unhideWhenUsed/>
    <w:rsid w:val="00590988"/>
    <w:rPr>
      <w:color w:val="0000FF" w:themeColor="hyperlink"/>
      <w:u w:val="single"/>
    </w:rPr>
  </w:style>
  <w:style w:type="table" w:styleId="MediumShading2-Accent5">
    <w:name w:val="Medium Shading 2 Accent 5"/>
    <w:basedOn w:val="TableNormal"/>
    <w:uiPriority w:val="64"/>
    <w:rsid w:val="0059098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5">
    <w:name w:val="Medium Grid 3 Accent 5"/>
    <w:basedOn w:val="TableNormal"/>
    <w:uiPriority w:val="69"/>
    <w:rsid w:val="0059098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PlaceholderText">
    <w:name w:val="Placeholder Text"/>
    <w:basedOn w:val="DefaultParagraphFont"/>
    <w:uiPriority w:val="99"/>
    <w:semiHidden/>
    <w:rsid w:val="00DD3792"/>
    <w:rPr>
      <w:color w:val="808080"/>
    </w:rPr>
  </w:style>
  <w:style w:type="table" w:styleId="MediumGrid3-Accent1">
    <w:name w:val="Medium Grid 3 Accent 1"/>
    <w:basedOn w:val="TableNormal"/>
    <w:uiPriority w:val="69"/>
    <w:rsid w:val="00652A6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table" w:styleId="TableGrid">
    <w:name w:val="Table Grid"/>
    <w:basedOn w:val="TableNormal"/>
    <w:uiPriority w:val="59"/>
    <w:rsid w:val="00F12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59098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Hyperlink">
    <w:name w:val="Hyperlink"/>
    <w:basedOn w:val="DefaultParagraphFont"/>
    <w:uiPriority w:val="99"/>
    <w:unhideWhenUsed/>
    <w:rsid w:val="00590988"/>
    <w:rPr>
      <w:color w:val="0000FF" w:themeColor="hyperlink"/>
      <w:u w:val="single"/>
    </w:rPr>
  </w:style>
  <w:style w:type="table" w:styleId="MediumShading2-Accent5">
    <w:name w:val="Medium Shading 2 Accent 5"/>
    <w:basedOn w:val="TableNormal"/>
    <w:uiPriority w:val="64"/>
    <w:rsid w:val="0059098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5">
    <w:name w:val="Medium Grid 3 Accent 5"/>
    <w:basedOn w:val="TableNormal"/>
    <w:uiPriority w:val="69"/>
    <w:rsid w:val="0059098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PlaceholderText">
    <w:name w:val="Placeholder Text"/>
    <w:basedOn w:val="DefaultParagraphFont"/>
    <w:uiPriority w:val="99"/>
    <w:semiHidden/>
    <w:rsid w:val="00DD3792"/>
    <w:rPr>
      <w:color w:val="808080"/>
    </w:rPr>
  </w:style>
  <w:style w:type="table" w:styleId="MediumGrid3-Accent1">
    <w:name w:val="Medium Grid 3 Accent 1"/>
    <w:basedOn w:val="TableNormal"/>
    <w:uiPriority w:val="69"/>
    <w:rsid w:val="00652A6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5287">
      <w:bodyDiv w:val="1"/>
      <w:marLeft w:val="0"/>
      <w:marRight w:val="0"/>
      <w:marTop w:val="0"/>
      <w:marBottom w:val="0"/>
      <w:divBdr>
        <w:top w:val="none" w:sz="0" w:space="0" w:color="auto"/>
        <w:left w:val="none" w:sz="0" w:space="0" w:color="auto"/>
        <w:bottom w:val="none" w:sz="0" w:space="0" w:color="auto"/>
        <w:right w:val="none" w:sz="0" w:space="0" w:color="auto"/>
      </w:divBdr>
      <w:divsChild>
        <w:div w:id="1151479706">
          <w:marLeft w:val="274"/>
          <w:marRight w:val="0"/>
          <w:marTop w:val="77"/>
          <w:marBottom w:val="0"/>
          <w:divBdr>
            <w:top w:val="none" w:sz="0" w:space="0" w:color="auto"/>
            <w:left w:val="none" w:sz="0" w:space="0" w:color="auto"/>
            <w:bottom w:val="none" w:sz="0" w:space="0" w:color="auto"/>
            <w:right w:val="none" w:sz="0" w:space="0" w:color="auto"/>
          </w:divBdr>
        </w:div>
        <w:div w:id="235169762">
          <w:marLeft w:val="835"/>
          <w:marRight w:val="0"/>
          <w:marTop w:val="67"/>
          <w:marBottom w:val="0"/>
          <w:divBdr>
            <w:top w:val="none" w:sz="0" w:space="0" w:color="auto"/>
            <w:left w:val="none" w:sz="0" w:space="0" w:color="auto"/>
            <w:bottom w:val="none" w:sz="0" w:space="0" w:color="auto"/>
            <w:right w:val="none" w:sz="0" w:space="0" w:color="auto"/>
          </w:divBdr>
        </w:div>
        <w:div w:id="713432118">
          <w:marLeft w:val="835"/>
          <w:marRight w:val="0"/>
          <w:marTop w:val="67"/>
          <w:marBottom w:val="0"/>
          <w:divBdr>
            <w:top w:val="none" w:sz="0" w:space="0" w:color="auto"/>
            <w:left w:val="none" w:sz="0" w:space="0" w:color="auto"/>
            <w:bottom w:val="none" w:sz="0" w:space="0" w:color="auto"/>
            <w:right w:val="none" w:sz="0" w:space="0" w:color="auto"/>
          </w:divBdr>
        </w:div>
        <w:div w:id="1101681666">
          <w:marLeft w:val="835"/>
          <w:marRight w:val="0"/>
          <w:marTop w:val="67"/>
          <w:marBottom w:val="0"/>
          <w:divBdr>
            <w:top w:val="none" w:sz="0" w:space="0" w:color="auto"/>
            <w:left w:val="none" w:sz="0" w:space="0" w:color="auto"/>
            <w:bottom w:val="none" w:sz="0" w:space="0" w:color="auto"/>
            <w:right w:val="none" w:sz="0" w:space="0" w:color="auto"/>
          </w:divBdr>
        </w:div>
        <w:div w:id="1827747867">
          <w:marLeft w:val="835"/>
          <w:marRight w:val="0"/>
          <w:marTop w:val="67"/>
          <w:marBottom w:val="0"/>
          <w:divBdr>
            <w:top w:val="none" w:sz="0" w:space="0" w:color="auto"/>
            <w:left w:val="none" w:sz="0" w:space="0" w:color="auto"/>
            <w:bottom w:val="none" w:sz="0" w:space="0" w:color="auto"/>
            <w:right w:val="none" w:sz="0" w:space="0" w:color="auto"/>
          </w:divBdr>
        </w:div>
      </w:divsChild>
    </w:div>
    <w:div w:id="1372028778">
      <w:bodyDiv w:val="1"/>
      <w:marLeft w:val="0"/>
      <w:marRight w:val="0"/>
      <w:marTop w:val="0"/>
      <w:marBottom w:val="0"/>
      <w:divBdr>
        <w:top w:val="none" w:sz="0" w:space="0" w:color="auto"/>
        <w:left w:val="none" w:sz="0" w:space="0" w:color="auto"/>
        <w:bottom w:val="none" w:sz="0" w:space="0" w:color="auto"/>
        <w:right w:val="none" w:sz="0" w:space="0" w:color="auto"/>
      </w:divBdr>
      <w:divsChild>
        <w:div w:id="764690227">
          <w:marLeft w:val="274"/>
          <w:marRight w:val="0"/>
          <w:marTop w:val="115"/>
          <w:marBottom w:val="0"/>
          <w:divBdr>
            <w:top w:val="none" w:sz="0" w:space="0" w:color="auto"/>
            <w:left w:val="none" w:sz="0" w:space="0" w:color="auto"/>
            <w:bottom w:val="none" w:sz="0" w:space="0" w:color="auto"/>
            <w:right w:val="none" w:sz="0" w:space="0" w:color="auto"/>
          </w:divBdr>
        </w:div>
        <w:div w:id="1049500456">
          <w:marLeft w:val="835"/>
          <w:marRight w:val="0"/>
          <w:marTop w:val="96"/>
          <w:marBottom w:val="0"/>
          <w:divBdr>
            <w:top w:val="none" w:sz="0" w:space="0" w:color="auto"/>
            <w:left w:val="none" w:sz="0" w:space="0" w:color="auto"/>
            <w:bottom w:val="none" w:sz="0" w:space="0" w:color="auto"/>
            <w:right w:val="none" w:sz="0" w:space="0" w:color="auto"/>
          </w:divBdr>
        </w:div>
      </w:divsChild>
    </w:div>
    <w:div w:id="1375806759">
      <w:bodyDiv w:val="1"/>
      <w:marLeft w:val="0"/>
      <w:marRight w:val="0"/>
      <w:marTop w:val="0"/>
      <w:marBottom w:val="0"/>
      <w:divBdr>
        <w:top w:val="none" w:sz="0" w:space="0" w:color="auto"/>
        <w:left w:val="none" w:sz="0" w:space="0" w:color="auto"/>
        <w:bottom w:val="none" w:sz="0" w:space="0" w:color="auto"/>
        <w:right w:val="none" w:sz="0" w:space="0" w:color="auto"/>
      </w:divBdr>
      <w:divsChild>
        <w:div w:id="344553071">
          <w:marLeft w:val="274"/>
          <w:marRight w:val="0"/>
          <w:marTop w:val="115"/>
          <w:marBottom w:val="0"/>
          <w:divBdr>
            <w:top w:val="none" w:sz="0" w:space="0" w:color="auto"/>
            <w:left w:val="none" w:sz="0" w:space="0" w:color="auto"/>
            <w:bottom w:val="none" w:sz="0" w:space="0" w:color="auto"/>
            <w:right w:val="none" w:sz="0" w:space="0" w:color="auto"/>
          </w:divBdr>
        </w:div>
        <w:div w:id="794786340">
          <w:marLeft w:val="835"/>
          <w:marRight w:val="0"/>
          <w:marTop w:val="96"/>
          <w:marBottom w:val="0"/>
          <w:divBdr>
            <w:top w:val="none" w:sz="0" w:space="0" w:color="auto"/>
            <w:left w:val="none" w:sz="0" w:space="0" w:color="auto"/>
            <w:bottom w:val="none" w:sz="0" w:space="0" w:color="auto"/>
            <w:right w:val="none" w:sz="0" w:space="0" w:color="auto"/>
          </w:divBdr>
        </w:div>
        <w:div w:id="366151447">
          <w:marLeft w:val="835"/>
          <w:marRight w:val="0"/>
          <w:marTop w:val="96"/>
          <w:marBottom w:val="0"/>
          <w:divBdr>
            <w:top w:val="none" w:sz="0" w:space="0" w:color="auto"/>
            <w:left w:val="none" w:sz="0" w:space="0" w:color="auto"/>
            <w:bottom w:val="none" w:sz="0" w:space="0" w:color="auto"/>
            <w:right w:val="none" w:sz="0" w:space="0" w:color="auto"/>
          </w:divBdr>
        </w:div>
        <w:div w:id="1123883712">
          <w:marLeft w:val="835"/>
          <w:marRight w:val="0"/>
          <w:marTop w:val="96"/>
          <w:marBottom w:val="0"/>
          <w:divBdr>
            <w:top w:val="none" w:sz="0" w:space="0" w:color="auto"/>
            <w:left w:val="none" w:sz="0" w:space="0" w:color="auto"/>
            <w:bottom w:val="none" w:sz="0" w:space="0" w:color="auto"/>
            <w:right w:val="none" w:sz="0" w:space="0" w:color="auto"/>
          </w:divBdr>
        </w:div>
        <w:div w:id="1390767462">
          <w:marLeft w:val="835"/>
          <w:marRight w:val="0"/>
          <w:marTop w:val="96"/>
          <w:marBottom w:val="0"/>
          <w:divBdr>
            <w:top w:val="none" w:sz="0" w:space="0" w:color="auto"/>
            <w:left w:val="none" w:sz="0" w:space="0" w:color="auto"/>
            <w:bottom w:val="none" w:sz="0" w:space="0" w:color="auto"/>
            <w:right w:val="none" w:sz="0" w:space="0" w:color="auto"/>
          </w:divBdr>
        </w:div>
        <w:div w:id="1881240703">
          <w:marLeft w:val="835"/>
          <w:marRight w:val="0"/>
          <w:marTop w:val="96"/>
          <w:marBottom w:val="0"/>
          <w:divBdr>
            <w:top w:val="none" w:sz="0" w:space="0" w:color="auto"/>
            <w:left w:val="none" w:sz="0" w:space="0" w:color="auto"/>
            <w:bottom w:val="none" w:sz="0" w:space="0" w:color="auto"/>
            <w:right w:val="none" w:sz="0" w:space="0" w:color="auto"/>
          </w:divBdr>
        </w:div>
      </w:divsChild>
    </w:div>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apps.fcc.gov/edocs_public/attachmatch/FCC-15-138A1.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B9A6B-1396-4C59-96C7-4D31B218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1468</Words>
  <Characters>8373</Characters>
  <Application>Microsoft Office Word</Application>
  <DocSecurity>0</DocSecurity>
  <Lines>69</Lines>
  <Paragraphs>19</Paragraphs>
  <ScaleCrop>false</ScaleCrop>
  <Company/>
  <LinksUpToDate>false</LinksUpToDate>
  <CharactersWithSpaces>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2016-08-12T14:09:00Z</dcterms:created>
  <dcterms:modified xsi:type="dcterms:W3CDTF">2016-08-12T14:12:00Z</dcterms:modified>
</cp:coreProperties>
</file>